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798456" w14:textId="5ED2192A" w:rsidR="0077209A" w:rsidRPr="00E93FC3" w:rsidRDefault="0077209A" w:rsidP="009E7EC5">
      <w:pPr>
        <w:spacing w:line="276" w:lineRule="auto"/>
        <w:jc w:val="center"/>
        <w:rPr>
          <w:rFonts w:ascii="Garamond" w:hAnsi="Garamond" w:cs="Calibri"/>
          <w:b/>
          <w:sz w:val="24"/>
          <w:szCs w:val="24"/>
        </w:rPr>
      </w:pPr>
    </w:p>
    <w:p w14:paraId="7E22B58D" w14:textId="3EEAB400" w:rsidR="0077209A" w:rsidRPr="00706E4B" w:rsidRDefault="008E3C3F" w:rsidP="0016461F">
      <w:pPr>
        <w:pStyle w:val="Textoindependiente"/>
        <w:spacing w:line="276" w:lineRule="auto"/>
        <w:jc w:val="center"/>
        <w:rPr>
          <w:rFonts w:ascii="Garamond" w:hAnsi="Garamond"/>
          <w:b/>
          <w:sz w:val="24"/>
          <w:szCs w:val="24"/>
        </w:rPr>
      </w:pPr>
      <w:r w:rsidRPr="00706E4B">
        <w:rPr>
          <w:rFonts w:ascii="Garamond" w:hAnsi="Garamond"/>
          <w:b/>
          <w:sz w:val="24"/>
          <w:szCs w:val="24"/>
        </w:rPr>
        <w:t>ALCALDÍA</w:t>
      </w:r>
      <w:r w:rsidR="00802C6F" w:rsidRPr="00706E4B">
        <w:rPr>
          <w:rFonts w:ascii="Garamond" w:hAnsi="Garamond"/>
          <w:b/>
          <w:sz w:val="24"/>
          <w:szCs w:val="24"/>
        </w:rPr>
        <w:t xml:space="preserve"> LOCAL DE CIUDAD </w:t>
      </w:r>
      <w:r w:rsidRPr="00706E4B">
        <w:rPr>
          <w:rFonts w:ascii="Garamond" w:hAnsi="Garamond"/>
          <w:b/>
          <w:sz w:val="24"/>
          <w:szCs w:val="24"/>
        </w:rPr>
        <w:t>BOLÍVAR</w:t>
      </w:r>
    </w:p>
    <w:p w14:paraId="7FC017B6" w14:textId="3C2D8A0D" w:rsidR="0077209A" w:rsidRPr="00706E4B" w:rsidRDefault="0077209A" w:rsidP="0048778E">
      <w:pPr>
        <w:pStyle w:val="Textoindependiente"/>
        <w:spacing w:line="276" w:lineRule="auto"/>
        <w:jc w:val="center"/>
        <w:rPr>
          <w:rFonts w:ascii="Garamond" w:hAnsi="Garamond"/>
          <w:b/>
          <w:sz w:val="24"/>
          <w:szCs w:val="24"/>
          <w:highlight w:val="yellow"/>
        </w:rPr>
      </w:pPr>
    </w:p>
    <w:p w14:paraId="4983D79E" w14:textId="77777777" w:rsidR="0077209A" w:rsidRPr="00706E4B" w:rsidRDefault="0077209A" w:rsidP="0048778E">
      <w:pPr>
        <w:spacing w:line="276" w:lineRule="auto"/>
        <w:jc w:val="center"/>
        <w:rPr>
          <w:rFonts w:ascii="Garamond" w:hAnsi="Garamond" w:cs="Calibri"/>
          <w:b/>
          <w:sz w:val="24"/>
          <w:szCs w:val="24"/>
        </w:rPr>
      </w:pPr>
      <w:r w:rsidRPr="00706E4B">
        <w:rPr>
          <w:rFonts w:ascii="Garamond" w:hAnsi="Garamond" w:cs="Calibri"/>
          <w:b/>
          <w:sz w:val="24"/>
          <w:szCs w:val="24"/>
        </w:rPr>
        <w:t>ESTUDIO DE SECTOR</w:t>
      </w:r>
    </w:p>
    <w:p w14:paraId="0A8D3B29" w14:textId="77777777" w:rsidR="0077209A" w:rsidRPr="00706E4B" w:rsidRDefault="0077209A" w:rsidP="0048778E">
      <w:pPr>
        <w:pStyle w:val="Textoindependiente"/>
        <w:spacing w:line="276" w:lineRule="auto"/>
        <w:jc w:val="center"/>
        <w:rPr>
          <w:rFonts w:ascii="Garamond" w:hAnsi="Garamond"/>
          <w:b/>
          <w:sz w:val="24"/>
          <w:szCs w:val="24"/>
          <w:highlight w:val="yellow"/>
        </w:rPr>
      </w:pPr>
    </w:p>
    <w:p w14:paraId="7739F2CD" w14:textId="30ED24A6" w:rsidR="0077209A" w:rsidRPr="00706E4B" w:rsidRDefault="0077209A" w:rsidP="0016461F">
      <w:pPr>
        <w:pStyle w:val="Textoindependiente"/>
        <w:spacing w:before="6" w:line="276" w:lineRule="auto"/>
        <w:rPr>
          <w:rFonts w:ascii="Garamond" w:hAnsi="Garamond"/>
          <w:b/>
          <w:sz w:val="24"/>
          <w:szCs w:val="24"/>
          <w:highlight w:val="yellow"/>
        </w:rPr>
      </w:pPr>
    </w:p>
    <w:p w14:paraId="65D5A2CF" w14:textId="77777777" w:rsidR="0077209A" w:rsidRPr="00706E4B" w:rsidRDefault="0077209A" w:rsidP="0048778E">
      <w:pPr>
        <w:pStyle w:val="Textoindependiente"/>
        <w:spacing w:before="6" w:line="276" w:lineRule="auto"/>
        <w:jc w:val="center"/>
        <w:rPr>
          <w:rFonts w:ascii="Garamond" w:hAnsi="Garamond"/>
          <w:b/>
          <w:sz w:val="24"/>
          <w:szCs w:val="24"/>
          <w:highlight w:val="yellow"/>
        </w:rPr>
      </w:pPr>
    </w:p>
    <w:p w14:paraId="785C5605" w14:textId="5C56494F" w:rsidR="0077209A" w:rsidRPr="00706E4B" w:rsidRDefault="0077209A" w:rsidP="0048778E">
      <w:pPr>
        <w:pStyle w:val="Ttulo1"/>
        <w:spacing w:line="276" w:lineRule="auto"/>
        <w:ind w:left="2489" w:right="2707"/>
        <w:jc w:val="center"/>
        <w:rPr>
          <w:rFonts w:ascii="Garamond" w:hAnsi="Garamond"/>
          <w:spacing w:val="1"/>
          <w:sz w:val="24"/>
          <w:szCs w:val="24"/>
        </w:rPr>
      </w:pPr>
      <w:r w:rsidRPr="00706E4B">
        <w:rPr>
          <w:rFonts w:ascii="Garamond" w:hAnsi="Garamond"/>
          <w:sz w:val="24"/>
          <w:szCs w:val="24"/>
        </w:rPr>
        <w:t>MODALIDAD CONTRATACIÓN</w:t>
      </w:r>
    </w:p>
    <w:p w14:paraId="152818CB" w14:textId="4BFE2A26" w:rsidR="0077209A" w:rsidRPr="00706E4B" w:rsidRDefault="00FF6AEF" w:rsidP="00802C6F">
      <w:pPr>
        <w:pStyle w:val="Standard"/>
        <w:spacing w:line="276" w:lineRule="auto"/>
        <w:jc w:val="center"/>
        <w:rPr>
          <w:rFonts w:ascii="Garamond" w:hAnsi="Garamond" w:cs="Arial"/>
          <w:b/>
          <w:sz w:val="24"/>
          <w:szCs w:val="24"/>
        </w:rPr>
      </w:pPr>
      <w:r w:rsidRPr="00706E4B">
        <w:rPr>
          <w:rFonts w:ascii="Garamond" w:hAnsi="Garamond" w:cs="Arial"/>
          <w:b/>
          <w:sz w:val="24"/>
          <w:szCs w:val="24"/>
        </w:rPr>
        <w:t>CONTRATACIÓN DIRECTA</w:t>
      </w:r>
    </w:p>
    <w:p w14:paraId="19199452" w14:textId="14A3B9EB" w:rsidR="0077209A" w:rsidRPr="00706E4B" w:rsidRDefault="0077209A" w:rsidP="0016461F">
      <w:pPr>
        <w:pStyle w:val="Textoindependiente"/>
        <w:spacing w:line="276" w:lineRule="auto"/>
        <w:rPr>
          <w:rFonts w:ascii="Garamond" w:hAnsi="Garamond"/>
          <w:b/>
          <w:sz w:val="24"/>
          <w:szCs w:val="24"/>
          <w:highlight w:val="yellow"/>
        </w:rPr>
      </w:pPr>
    </w:p>
    <w:p w14:paraId="11598537" w14:textId="0BE13F2D" w:rsidR="0077209A" w:rsidRPr="00706E4B" w:rsidRDefault="0077209A" w:rsidP="0048778E">
      <w:pPr>
        <w:spacing w:before="1" w:line="276" w:lineRule="auto"/>
        <w:ind w:left="2489" w:right="2705"/>
        <w:jc w:val="center"/>
        <w:rPr>
          <w:rFonts w:ascii="Garamond" w:hAnsi="Garamond"/>
          <w:b/>
          <w:sz w:val="24"/>
          <w:szCs w:val="24"/>
          <w:highlight w:val="yellow"/>
        </w:rPr>
      </w:pPr>
    </w:p>
    <w:p w14:paraId="6207AF78" w14:textId="77777777" w:rsidR="00A3367A" w:rsidRPr="00706E4B" w:rsidRDefault="00A3367A" w:rsidP="0048778E">
      <w:pPr>
        <w:pStyle w:val="Textoindependiente"/>
        <w:spacing w:before="6" w:line="276" w:lineRule="auto"/>
        <w:jc w:val="center"/>
        <w:rPr>
          <w:rFonts w:ascii="Garamond" w:hAnsi="Garamond"/>
          <w:b/>
          <w:sz w:val="24"/>
          <w:szCs w:val="24"/>
          <w:highlight w:val="yellow"/>
        </w:rPr>
      </w:pPr>
    </w:p>
    <w:p w14:paraId="529EADF1" w14:textId="39734BD1" w:rsidR="00BB1CD2" w:rsidRPr="00706E4B" w:rsidRDefault="00EF1551" w:rsidP="0048778E">
      <w:pPr>
        <w:pStyle w:val="Ttulo1"/>
        <w:spacing w:line="276" w:lineRule="auto"/>
        <w:ind w:left="2489" w:right="2707"/>
        <w:jc w:val="center"/>
        <w:rPr>
          <w:rFonts w:ascii="Garamond" w:hAnsi="Garamond"/>
          <w:sz w:val="24"/>
          <w:szCs w:val="24"/>
        </w:rPr>
      </w:pPr>
      <w:r w:rsidRPr="00706E4B">
        <w:rPr>
          <w:rFonts w:ascii="Garamond" w:hAnsi="Garamond"/>
          <w:sz w:val="24"/>
          <w:szCs w:val="24"/>
        </w:rPr>
        <w:t>PROYECTO</w:t>
      </w:r>
      <w:r w:rsidR="00DB1EBF" w:rsidRPr="00706E4B">
        <w:rPr>
          <w:rFonts w:ascii="Garamond" w:hAnsi="Garamond"/>
          <w:sz w:val="24"/>
          <w:szCs w:val="24"/>
        </w:rPr>
        <w:t xml:space="preserve"> DE INVERSIÓN</w:t>
      </w:r>
      <w:r w:rsidRPr="00706E4B">
        <w:rPr>
          <w:rFonts w:ascii="Garamond" w:hAnsi="Garamond"/>
          <w:sz w:val="24"/>
          <w:szCs w:val="24"/>
        </w:rPr>
        <w:t>:</w:t>
      </w:r>
    </w:p>
    <w:p w14:paraId="0C8364E3" w14:textId="4B971F0D" w:rsidR="006F600E" w:rsidRPr="00706E4B" w:rsidRDefault="006F600E" w:rsidP="006F600E">
      <w:pPr>
        <w:pStyle w:val="Standard"/>
        <w:jc w:val="center"/>
        <w:rPr>
          <w:rFonts w:ascii="Garamond" w:eastAsia="Droid Sans" w:hAnsi="Garamond" w:cs="Arial"/>
          <w:sz w:val="24"/>
          <w:szCs w:val="24"/>
          <w:lang w:bidi="hi-IN"/>
        </w:rPr>
      </w:pPr>
      <w:bookmarkStart w:id="0" w:name="_Hlk182423967"/>
      <w:r w:rsidRPr="00706E4B">
        <w:rPr>
          <w:rFonts w:ascii="Garamond" w:eastAsia="Droid Sans" w:hAnsi="Garamond" w:cs="Arial"/>
          <w:sz w:val="24"/>
          <w:szCs w:val="24"/>
          <w:lang w:bidi="hi-IN"/>
        </w:rPr>
        <w:t>2234: PARTICIPACIÓN ACTIVA PARA LA LOCALIDAD "CIUDAD BOLÍVAR, CAMINA SEGURA"</w:t>
      </w:r>
    </w:p>
    <w:p w14:paraId="598AAABB" w14:textId="32E8346D" w:rsidR="00BB1CD2" w:rsidRPr="00706E4B" w:rsidRDefault="00BB1CD2" w:rsidP="003421B4">
      <w:pPr>
        <w:jc w:val="center"/>
        <w:rPr>
          <w:rFonts w:ascii="Garamond" w:hAnsi="Garamond" w:cs="Arial"/>
          <w:bCs/>
          <w:kern w:val="3"/>
          <w:sz w:val="24"/>
          <w:szCs w:val="24"/>
          <w:highlight w:val="yellow"/>
          <w:lang w:val="es-MX" w:eastAsia="zh-CN"/>
        </w:rPr>
      </w:pPr>
    </w:p>
    <w:bookmarkEnd w:id="0"/>
    <w:p w14:paraId="00E2FE32" w14:textId="68201607" w:rsidR="0077209A" w:rsidRPr="00706E4B" w:rsidRDefault="0077209A" w:rsidP="0016461F">
      <w:pPr>
        <w:pStyle w:val="Textoindependiente"/>
        <w:spacing w:line="276" w:lineRule="auto"/>
        <w:rPr>
          <w:rFonts w:ascii="Garamond" w:hAnsi="Garamond"/>
          <w:b/>
          <w:sz w:val="24"/>
          <w:szCs w:val="24"/>
          <w:highlight w:val="yellow"/>
        </w:rPr>
      </w:pPr>
    </w:p>
    <w:p w14:paraId="23DBF406" w14:textId="6919393F" w:rsidR="0016461F" w:rsidRPr="00706E4B" w:rsidRDefault="0016461F" w:rsidP="0016461F">
      <w:pPr>
        <w:spacing w:before="240"/>
        <w:rPr>
          <w:rFonts w:ascii="Garamond" w:eastAsia="Arial Nova" w:hAnsi="Garamond" w:cs="Arial Nova"/>
          <w:b/>
          <w:bCs/>
          <w:sz w:val="24"/>
          <w:szCs w:val="24"/>
        </w:rPr>
      </w:pPr>
    </w:p>
    <w:p w14:paraId="07B61E86" w14:textId="77777777" w:rsidR="006F600E" w:rsidRPr="00706E4B" w:rsidRDefault="006F600E" w:rsidP="0016461F">
      <w:pPr>
        <w:spacing w:before="240"/>
        <w:rPr>
          <w:rFonts w:ascii="Garamond" w:eastAsia="Arial Nova" w:hAnsi="Garamond" w:cs="Arial Nova"/>
          <w:b/>
          <w:bCs/>
          <w:sz w:val="24"/>
          <w:szCs w:val="24"/>
        </w:rPr>
      </w:pPr>
    </w:p>
    <w:p w14:paraId="091E2BC6" w14:textId="482D45E6" w:rsidR="0016461F" w:rsidRPr="00706E4B" w:rsidRDefault="0016461F" w:rsidP="0016461F">
      <w:pPr>
        <w:spacing w:before="240"/>
        <w:jc w:val="center"/>
        <w:rPr>
          <w:rFonts w:ascii="Garamond" w:eastAsia="Arial Nova" w:hAnsi="Garamond" w:cs="Arial Nova"/>
          <w:b/>
          <w:bCs/>
          <w:sz w:val="24"/>
          <w:szCs w:val="24"/>
        </w:rPr>
      </w:pPr>
      <w:r w:rsidRPr="00706E4B">
        <w:rPr>
          <w:rFonts w:ascii="Garamond" w:eastAsia="Arial Nova" w:hAnsi="Garamond" w:cs="Arial Nova"/>
          <w:b/>
          <w:bCs/>
          <w:sz w:val="24"/>
          <w:szCs w:val="24"/>
        </w:rPr>
        <w:t>OBJETO DEL CONTRATO:</w:t>
      </w:r>
    </w:p>
    <w:p w14:paraId="0BDF597B" w14:textId="77777777" w:rsidR="0016461F" w:rsidRPr="00706E4B" w:rsidRDefault="0016461F" w:rsidP="0016461F">
      <w:pPr>
        <w:spacing w:before="240"/>
        <w:jc w:val="center"/>
        <w:rPr>
          <w:rFonts w:ascii="Garamond" w:eastAsia="Arial Nova" w:hAnsi="Garamond" w:cs="Arial Nova"/>
          <w:b/>
          <w:bCs/>
          <w:sz w:val="24"/>
          <w:szCs w:val="24"/>
        </w:rPr>
      </w:pPr>
    </w:p>
    <w:p w14:paraId="020E4578" w14:textId="25292576" w:rsidR="006F600E" w:rsidRPr="00706E4B" w:rsidRDefault="000E1884" w:rsidP="000E1884">
      <w:pPr>
        <w:pStyle w:val="Standard"/>
        <w:jc w:val="center"/>
        <w:rPr>
          <w:rFonts w:ascii="Garamond" w:eastAsia="Droid Sans" w:hAnsi="Garamond" w:cs="Arial"/>
          <w:sz w:val="24"/>
          <w:szCs w:val="24"/>
          <w:lang w:bidi="hi-IN"/>
        </w:rPr>
      </w:pPr>
      <w:r w:rsidRPr="00706E4B">
        <w:rPr>
          <w:rFonts w:ascii="Garamond" w:eastAsia="Droid Sans" w:hAnsi="Garamond" w:cs="Arial"/>
          <w:sz w:val="24"/>
          <w:szCs w:val="24"/>
          <w:lang w:bidi="hi-IN"/>
        </w:rPr>
        <w:t>“PRESTAR LOS SERVICIOS PARA DESARROLLAR LAS ACTIVIDADES QUE FORTALEZCAN LOS PROCESOS DE FORMACIÓN COMUNAL A DIGNATARIOS Y DIGNATARIAS DE LA LOCALIDAD, EN EL MARCO DE LAS METAS ESTABLECIDAS DENTRO DEL PLAN DE DESARROLLO LOCAL</w:t>
      </w:r>
      <w:r w:rsidR="00567A05" w:rsidRPr="00706E4B">
        <w:rPr>
          <w:rFonts w:ascii="Garamond" w:eastAsia="Droid Sans" w:hAnsi="Garamond" w:cs="Arial"/>
          <w:sz w:val="24"/>
          <w:szCs w:val="24"/>
          <w:lang w:bidi="hi-IN"/>
        </w:rPr>
        <w:t xml:space="preserve"> 2025-2028</w:t>
      </w:r>
      <w:r w:rsidRPr="00706E4B">
        <w:rPr>
          <w:rFonts w:ascii="Garamond" w:eastAsia="Droid Sans" w:hAnsi="Garamond" w:cs="Arial"/>
          <w:sz w:val="24"/>
          <w:szCs w:val="24"/>
          <w:lang w:bidi="hi-IN"/>
        </w:rPr>
        <w:t>”.</w:t>
      </w:r>
    </w:p>
    <w:p w14:paraId="07C5844F" w14:textId="25CD8B5B" w:rsidR="006F600E" w:rsidRPr="00706E4B" w:rsidRDefault="006F600E" w:rsidP="006F600E">
      <w:pPr>
        <w:pStyle w:val="Standard"/>
        <w:jc w:val="both"/>
        <w:rPr>
          <w:rFonts w:ascii="Garamond" w:hAnsi="Garamond"/>
          <w:sz w:val="24"/>
          <w:szCs w:val="24"/>
        </w:rPr>
      </w:pPr>
      <w:r w:rsidRPr="00706E4B">
        <w:rPr>
          <w:rFonts w:ascii="Garamond" w:eastAsia="Droid Sans" w:hAnsi="Garamond" w:cs="Arial"/>
          <w:sz w:val="24"/>
          <w:szCs w:val="24"/>
          <w:lang w:bidi="hi-IN"/>
        </w:rPr>
        <w:t xml:space="preserve"> </w:t>
      </w:r>
    </w:p>
    <w:p w14:paraId="0F4C938F" w14:textId="7F8F1C5F" w:rsidR="006F600E" w:rsidRPr="00706E4B" w:rsidRDefault="006F600E" w:rsidP="0048778E">
      <w:pPr>
        <w:pStyle w:val="Textoindependiente"/>
        <w:spacing w:line="276" w:lineRule="auto"/>
        <w:jc w:val="center"/>
        <w:rPr>
          <w:rFonts w:ascii="Garamond" w:hAnsi="Garamond"/>
          <w:b/>
          <w:sz w:val="24"/>
          <w:szCs w:val="24"/>
          <w:highlight w:val="yellow"/>
        </w:rPr>
      </w:pPr>
    </w:p>
    <w:p w14:paraId="304062DF" w14:textId="77777777" w:rsidR="006F600E" w:rsidRPr="00706E4B" w:rsidRDefault="006F600E" w:rsidP="0048778E">
      <w:pPr>
        <w:pStyle w:val="Textoindependiente"/>
        <w:spacing w:line="276" w:lineRule="auto"/>
        <w:jc w:val="center"/>
        <w:rPr>
          <w:rFonts w:ascii="Garamond" w:hAnsi="Garamond"/>
          <w:b/>
          <w:sz w:val="24"/>
          <w:szCs w:val="24"/>
          <w:highlight w:val="yellow"/>
        </w:rPr>
      </w:pPr>
    </w:p>
    <w:p w14:paraId="0196BE07" w14:textId="0F04B0AB" w:rsidR="0016461F" w:rsidRPr="00706E4B" w:rsidRDefault="0016461F" w:rsidP="0048778E">
      <w:pPr>
        <w:pStyle w:val="Textoindependiente"/>
        <w:spacing w:line="276" w:lineRule="auto"/>
        <w:jc w:val="center"/>
        <w:rPr>
          <w:rFonts w:ascii="Garamond" w:hAnsi="Garamond"/>
          <w:b/>
          <w:sz w:val="24"/>
          <w:szCs w:val="24"/>
          <w:highlight w:val="yellow"/>
        </w:rPr>
      </w:pPr>
    </w:p>
    <w:p w14:paraId="41FA4459" w14:textId="77777777" w:rsidR="0016461F" w:rsidRPr="00706E4B" w:rsidRDefault="0016461F" w:rsidP="0048778E">
      <w:pPr>
        <w:pStyle w:val="Textoindependiente"/>
        <w:spacing w:line="276" w:lineRule="auto"/>
        <w:jc w:val="center"/>
        <w:rPr>
          <w:rFonts w:ascii="Garamond" w:hAnsi="Garamond"/>
          <w:b/>
          <w:sz w:val="24"/>
          <w:szCs w:val="24"/>
          <w:highlight w:val="yellow"/>
        </w:rPr>
      </w:pPr>
    </w:p>
    <w:p w14:paraId="6DAEC544" w14:textId="21657C19" w:rsidR="00A73EAD" w:rsidRPr="00706E4B" w:rsidRDefault="00BB1CD2" w:rsidP="0048778E">
      <w:pPr>
        <w:spacing w:line="276" w:lineRule="auto"/>
        <w:ind w:left="2489" w:right="2704"/>
        <w:jc w:val="center"/>
        <w:rPr>
          <w:rFonts w:ascii="Garamond" w:hAnsi="Garamond"/>
          <w:b/>
          <w:sz w:val="24"/>
          <w:szCs w:val="24"/>
        </w:rPr>
      </w:pPr>
      <w:r w:rsidRPr="00706E4B">
        <w:rPr>
          <w:rFonts w:ascii="Garamond" w:hAnsi="Garamond"/>
          <w:b/>
          <w:sz w:val="24"/>
          <w:szCs w:val="24"/>
        </w:rPr>
        <w:t>VIGENCIA</w:t>
      </w:r>
      <w:r w:rsidR="0077209A" w:rsidRPr="00706E4B">
        <w:rPr>
          <w:rFonts w:ascii="Garamond" w:hAnsi="Garamond"/>
          <w:b/>
          <w:sz w:val="24"/>
          <w:szCs w:val="24"/>
        </w:rPr>
        <w:t xml:space="preserve"> </w:t>
      </w:r>
      <w:r w:rsidR="0077209A" w:rsidRPr="00706E4B">
        <w:rPr>
          <w:rFonts w:ascii="Garamond" w:hAnsi="Garamond"/>
          <w:b/>
          <w:spacing w:val="-7"/>
          <w:sz w:val="24"/>
          <w:szCs w:val="24"/>
        </w:rPr>
        <w:t xml:space="preserve"> </w:t>
      </w:r>
      <w:r w:rsidR="0077209A" w:rsidRPr="00706E4B">
        <w:rPr>
          <w:rFonts w:ascii="Garamond" w:hAnsi="Garamond"/>
          <w:b/>
          <w:sz w:val="24"/>
          <w:szCs w:val="24"/>
        </w:rPr>
        <w:t>202</w:t>
      </w:r>
      <w:r w:rsidR="00567A05" w:rsidRPr="00706E4B">
        <w:rPr>
          <w:rFonts w:ascii="Garamond" w:hAnsi="Garamond"/>
          <w:b/>
          <w:sz w:val="24"/>
          <w:szCs w:val="24"/>
        </w:rPr>
        <w:t>6</w:t>
      </w:r>
    </w:p>
    <w:p w14:paraId="706860CC" w14:textId="6728F50C" w:rsidR="00802C6F" w:rsidRPr="00706E4B" w:rsidRDefault="00802C6F" w:rsidP="0048778E">
      <w:pPr>
        <w:spacing w:line="276" w:lineRule="auto"/>
        <w:ind w:left="2489" w:right="2704"/>
        <w:jc w:val="center"/>
        <w:rPr>
          <w:rFonts w:ascii="Garamond" w:hAnsi="Garamond"/>
          <w:b/>
          <w:sz w:val="24"/>
          <w:szCs w:val="24"/>
        </w:rPr>
      </w:pPr>
    </w:p>
    <w:p w14:paraId="294DBB5B" w14:textId="26195E6A" w:rsidR="00802C6F" w:rsidRPr="00706E4B" w:rsidRDefault="00802C6F" w:rsidP="0048778E">
      <w:pPr>
        <w:spacing w:line="276" w:lineRule="auto"/>
        <w:ind w:left="2489" w:right="2704"/>
        <w:jc w:val="center"/>
        <w:rPr>
          <w:rFonts w:ascii="Garamond" w:hAnsi="Garamond"/>
          <w:b/>
          <w:sz w:val="24"/>
          <w:szCs w:val="24"/>
        </w:rPr>
      </w:pPr>
    </w:p>
    <w:p w14:paraId="75A41140" w14:textId="22F2487C" w:rsidR="0017159D" w:rsidRPr="00706E4B" w:rsidRDefault="00382F22" w:rsidP="00FE0D26">
      <w:pPr>
        <w:spacing w:line="276" w:lineRule="auto"/>
        <w:jc w:val="both"/>
        <w:textAlignment w:val="baseline"/>
        <w:rPr>
          <w:rFonts w:ascii="Garamond" w:hAnsi="Garamond" w:cs="Segoe UI"/>
          <w:b/>
          <w:bCs/>
          <w:color w:val="000000"/>
          <w:sz w:val="24"/>
          <w:szCs w:val="24"/>
          <w:lang w:eastAsia="es-CO"/>
        </w:rPr>
      </w:pPr>
      <w:r w:rsidRPr="00706E4B">
        <w:rPr>
          <w:rFonts w:ascii="Garamond" w:hAnsi="Garamond" w:cs="Segoe UI"/>
          <w:b/>
          <w:bCs/>
          <w:color w:val="000000"/>
          <w:sz w:val="24"/>
          <w:szCs w:val="24"/>
          <w:lang w:eastAsia="es-CO"/>
        </w:rPr>
        <w:t>INTRODUCCIÓN</w:t>
      </w:r>
    </w:p>
    <w:p w14:paraId="3236BE3C" w14:textId="77777777" w:rsidR="0017159D" w:rsidRPr="00706E4B" w:rsidRDefault="0017159D" w:rsidP="00FE0D26">
      <w:pPr>
        <w:spacing w:line="276" w:lineRule="auto"/>
        <w:ind w:left="1080"/>
        <w:jc w:val="both"/>
        <w:textAlignment w:val="baseline"/>
        <w:rPr>
          <w:rFonts w:ascii="Garamond" w:hAnsi="Garamond" w:cs="Segoe UI"/>
          <w:sz w:val="24"/>
          <w:szCs w:val="24"/>
          <w:lang w:eastAsia="es-CO"/>
        </w:rPr>
      </w:pPr>
      <w:r w:rsidRPr="00706E4B">
        <w:rPr>
          <w:rFonts w:ascii="Garamond" w:hAnsi="Garamond" w:cs="Segoe UI"/>
          <w:color w:val="0070C0"/>
          <w:sz w:val="24"/>
          <w:szCs w:val="24"/>
          <w:lang w:eastAsia="es-CO"/>
        </w:rPr>
        <w:t> </w:t>
      </w:r>
      <w:r w:rsidRPr="00706E4B">
        <w:rPr>
          <w:rFonts w:ascii="Garamond" w:hAnsi="Garamond" w:cs="Segoe UI"/>
          <w:sz w:val="24"/>
          <w:szCs w:val="24"/>
          <w:lang w:eastAsia="es-CO"/>
        </w:rPr>
        <w:t> </w:t>
      </w:r>
    </w:p>
    <w:p w14:paraId="753E9A2E" w14:textId="1262FBBE" w:rsidR="00732E10" w:rsidRPr="00706E4B" w:rsidRDefault="009E7EC5" w:rsidP="00732E10">
      <w:pPr>
        <w:pStyle w:val="Standard"/>
        <w:jc w:val="both"/>
        <w:rPr>
          <w:rFonts w:ascii="Garamond" w:eastAsia="Droid Sans" w:hAnsi="Garamond" w:cs="Arial"/>
          <w:sz w:val="24"/>
          <w:szCs w:val="24"/>
          <w:lang w:bidi="hi-IN"/>
        </w:rPr>
      </w:pPr>
      <w:bookmarkStart w:id="1" w:name="_Hlk174622798"/>
      <w:bookmarkStart w:id="2" w:name="_Hlk175056517"/>
      <w:r w:rsidRPr="00706E4B">
        <w:rPr>
          <w:rFonts w:ascii="Garamond" w:eastAsia="Arial" w:hAnsi="Garamond"/>
          <w:sz w:val="24"/>
          <w:szCs w:val="24"/>
        </w:rPr>
        <w:t xml:space="preserve">Este documento contiene insumos para realizar el estudio del sector relativo al Proceso de Contratación, ya que comprende pautas sobre los aspectos generales del mercado y del análisis de la demanda y de la oferta. </w:t>
      </w:r>
      <w:r w:rsidRPr="00706E4B">
        <w:rPr>
          <w:rFonts w:ascii="Garamond" w:hAnsi="Garamond"/>
          <w:sz w:val="24"/>
          <w:szCs w:val="24"/>
        </w:rPr>
        <w:t xml:space="preserve">Se realiza </w:t>
      </w:r>
      <w:r w:rsidRPr="00706E4B">
        <w:rPr>
          <w:rFonts w:ascii="Garamond" w:eastAsia="Arial" w:hAnsi="Garamond"/>
          <w:sz w:val="24"/>
          <w:szCs w:val="24"/>
        </w:rPr>
        <w:t xml:space="preserve">durante la etapa de planeación el estudio de mercado y el análisis del sector desde diferentes perspectivas </w:t>
      </w:r>
      <w:r w:rsidRPr="00706E4B">
        <w:rPr>
          <w:rFonts w:ascii="Garamond" w:hAnsi="Garamond"/>
          <w:bCs/>
          <w:sz w:val="24"/>
          <w:szCs w:val="24"/>
        </w:rPr>
        <w:t>legal, comercial, financiera, económica y técnica</w:t>
      </w:r>
      <w:r w:rsidRPr="00706E4B">
        <w:rPr>
          <w:rFonts w:ascii="Garamond" w:hAnsi="Garamond"/>
          <w:sz w:val="24"/>
          <w:szCs w:val="24"/>
        </w:rPr>
        <w:t xml:space="preserve"> para la contratación cuyo</w:t>
      </w:r>
      <w:r w:rsidR="00802C6F" w:rsidRPr="00706E4B">
        <w:rPr>
          <w:rFonts w:ascii="Garamond" w:hAnsi="Garamond"/>
          <w:sz w:val="24"/>
          <w:szCs w:val="24"/>
        </w:rPr>
        <w:t xml:space="preserve"> </w:t>
      </w:r>
      <w:r w:rsidRPr="00706E4B">
        <w:rPr>
          <w:rFonts w:ascii="Garamond" w:hAnsi="Garamond"/>
          <w:sz w:val="24"/>
          <w:szCs w:val="24"/>
        </w:rPr>
        <w:t>objeto</w:t>
      </w:r>
      <w:r w:rsidR="00802C6F" w:rsidRPr="00706E4B">
        <w:rPr>
          <w:rFonts w:ascii="Garamond" w:hAnsi="Garamond"/>
          <w:sz w:val="24"/>
          <w:szCs w:val="24"/>
        </w:rPr>
        <w:t xml:space="preserve"> es </w:t>
      </w:r>
      <w:bookmarkEnd w:id="1"/>
      <w:bookmarkEnd w:id="2"/>
      <w:r w:rsidR="00732E10" w:rsidRPr="00706E4B">
        <w:rPr>
          <w:rFonts w:ascii="Garamond" w:eastAsia="Droid Sans" w:hAnsi="Garamond" w:cs="Arial"/>
          <w:b/>
          <w:bCs/>
          <w:sz w:val="24"/>
          <w:szCs w:val="24"/>
          <w:lang w:bidi="hi-IN"/>
        </w:rPr>
        <w:t>“PRESTAR LOS SERVICIOS PARA DESARROLLAR LAS ACTIVIDADES QUE FORTALEZCAN LOS PROCESOS DE FORMACIÓN COMUNAL A DIGNATARIOS DE LA LOCALIDAD, EN EL MARCO DE LAS METAS ESTABLECIDAS DENTRO DEL PLAN DE DESARROLLO LOCAL 2025-2028</w:t>
      </w:r>
      <w:r w:rsidR="00732E10" w:rsidRPr="00706E4B">
        <w:rPr>
          <w:rFonts w:ascii="Garamond" w:eastAsia="Droid Sans" w:hAnsi="Garamond" w:cs="Arial"/>
          <w:sz w:val="24"/>
          <w:szCs w:val="24"/>
          <w:lang w:bidi="hi-IN"/>
        </w:rPr>
        <w:t>”.</w:t>
      </w:r>
    </w:p>
    <w:p w14:paraId="082AD40C" w14:textId="5C5E2C87" w:rsidR="00602AF3" w:rsidRPr="00706E4B" w:rsidRDefault="00602AF3" w:rsidP="00602AF3">
      <w:pPr>
        <w:pBdr>
          <w:top w:val="nil"/>
          <w:left w:val="nil"/>
          <w:bottom w:val="nil"/>
          <w:right w:val="nil"/>
          <w:between w:val="nil"/>
        </w:pBdr>
        <w:jc w:val="both"/>
        <w:rPr>
          <w:rFonts w:ascii="Garamond" w:hAnsi="Garamond"/>
          <w:sz w:val="24"/>
          <w:szCs w:val="24"/>
        </w:rPr>
      </w:pPr>
    </w:p>
    <w:p w14:paraId="78C5B582" w14:textId="77777777" w:rsidR="00706E4B" w:rsidRDefault="00706E4B" w:rsidP="00602AF3">
      <w:pPr>
        <w:pBdr>
          <w:top w:val="nil"/>
          <w:left w:val="nil"/>
          <w:bottom w:val="nil"/>
          <w:right w:val="nil"/>
          <w:between w:val="nil"/>
        </w:pBdr>
        <w:jc w:val="both"/>
        <w:rPr>
          <w:rFonts w:ascii="Garamond" w:eastAsia="Arial" w:hAnsi="Garamond"/>
          <w:sz w:val="24"/>
          <w:szCs w:val="24"/>
        </w:rPr>
      </w:pPr>
    </w:p>
    <w:p w14:paraId="1E6B4BD8" w14:textId="08A9E513" w:rsidR="003D26AC" w:rsidRPr="00706E4B" w:rsidRDefault="003D26AC" w:rsidP="00602AF3">
      <w:pPr>
        <w:pBdr>
          <w:top w:val="nil"/>
          <w:left w:val="nil"/>
          <w:bottom w:val="nil"/>
          <w:right w:val="nil"/>
          <w:between w:val="nil"/>
        </w:pBdr>
        <w:jc w:val="both"/>
        <w:rPr>
          <w:rFonts w:ascii="Garamond" w:eastAsia="Arial" w:hAnsi="Garamond"/>
          <w:sz w:val="24"/>
          <w:szCs w:val="24"/>
        </w:rPr>
      </w:pPr>
      <w:r w:rsidRPr="00706E4B">
        <w:rPr>
          <w:rFonts w:ascii="Garamond" w:eastAsia="Arial" w:hAnsi="Garamond"/>
          <w:sz w:val="24"/>
          <w:szCs w:val="24"/>
        </w:rPr>
        <w:t>El presente estudio de sector se realiza dando cumplimiento al Artículo 2.2.1.1.1.6.1</w:t>
      </w:r>
      <w:r w:rsidR="00802C6F" w:rsidRPr="00706E4B">
        <w:rPr>
          <w:rFonts w:ascii="Garamond" w:hAnsi="Garamond" w:cs="Lohit Hindi"/>
          <w:kern w:val="3"/>
          <w:sz w:val="24"/>
          <w:szCs w:val="24"/>
          <w:lang w:eastAsia="zh-CN" w:bidi="hi-IN"/>
        </w:rPr>
        <w:t xml:space="preserve"> </w:t>
      </w:r>
      <w:r w:rsidR="00802C6F" w:rsidRPr="00706E4B">
        <w:rPr>
          <w:rFonts w:ascii="Garamond" w:eastAsia="Arial" w:hAnsi="Garamond"/>
          <w:sz w:val="24"/>
          <w:szCs w:val="24"/>
        </w:rPr>
        <w:t>del Decreto 1082 de 2015</w:t>
      </w:r>
      <w:r w:rsidRPr="00706E4B">
        <w:rPr>
          <w:rFonts w:ascii="Garamond" w:eastAsia="Arial" w:hAnsi="Garamond"/>
          <w:sz w:val="24"/>
          <w:szCs w:val="24"/>
        </w:rPr>
        <w:t xml:space="preserve">. Deber de análisis de las Entidades Estatales del Decreto 1082 de 2015 y el Manual de Colombia Compra Eficiente titulado </w:t>
      </w:r>
      <w:r w:rsidRPr="00706E4B">
        <w:rPr>
          <w:rFonts w:ascii="Garamond" w:eastAsia="Arial" w:hAnsi="Garamond"/>
          <w:i/>
          <w:iCs/>
          <w:sz w:val="24"/>
          <w:szCs w:val="24"/>
        </w:rPr>
        <w:t>“Guía   para la Elaboración de Estudios del Sector</w:t>
      </w:r>
      <w:r w:rsidRPr="00706E4B">
        <w:rPr>
          <w:rFonts w:ascii="Garamond" w:eastAsia="Arial" w:hAnsi="Garamond"/>
          <w:sz w:val="24"/>
          <w:szCs w:val="24"/>
        </w:rPr>
        <w:t>” (G-EES-02), donde se impone la obligación a la entidad estatal, en este caso el Fondo de Desarrollo Local de Cuidad Bolívar, para conocer el sector relativo al objeto contractual, materializando los principios de planeación, de responsabilidad y de transparencia consagrados en la Ley 80 de 1993 y la Ley 1474 de 2011.</w:t>
      </w:r>
    </w:p>
    <w:p w14:paraId="15496B06" w14:textId="77777777" w:rsidR="003D26AC" w:rsidRPr="00706E4B" w:rsidRDefault="003D26AC" w:rsidP="00602AF3">
      <w:pPr>
        <w:jc w:val="both"/>
        <w:rPr>
          <w:rFonts w:ascii="Garamond" w:eastAsia="Arial" w:hAnsi="Garamond" w:cs="Arial"/>
          <w:sz w:val="24"/>
          <w:szCs w:val="24"/>
          <w:highlight w:val="yellow"/>
        </w:rPr>
      </w:pPr>
    </w:p>
    <w:p w14:paraId="3C9B7895" w14:textId="77777777" w:rsidR="003D26AC" w:rsidRPr="00706E4B" w:rsidRDefault="003D26AC" w:rsidP="00602AF3">
      <w:pPr>
        <w:jc w:val="both"/>
        <w:rPr>
          <w:rFonts w:ascii="Garamond" w:eastAsia="Arial" w:hAnsi="Garamond" w:cs="Arial"/>
          <w:sz w:val="24"/>
          <w:szCs w:val="24"/>
          <w:highlight w:val="yellow"/>
        </w:rPr>
      </w:pPr>
      <w:r w:rsidRPr="00706E4B">
        <w:rPr>
          <w:rFonts w:ascii="Garamond" w:eastAsia="Arial" w:hAnsi="Garamond" w:cs="Arial"/>
          <w:sz w:val="24"/>
          <w:szCs w:val="24"/>
        </w:rPr>
        <w:t>El Artículo 15 del Decreto 1510 de 2013 establece que las Entidades Estatales deben analizar el sector, es decir, el mercado relativo al objeto del Proceso de Contratación, desde la perspectiva legal, comercial, financiera, organizacional, técnica y de análisis de Riesgo. El resultado del análisis debe plasmarse en los estudios y documentos previos del Proceso de Contratación. La importancia de realizar este análisis ha sido recalcada en las recomendaciones que la Organización de Cooperación y de Desarrollo Económicos (OCDE) le ha formulado al Gobierno Nacional, las cuales constituyen buenas prácticas en materia de promoción de la competencia en la contratación pública.</w:t>
      </w:r>
    </w:p>
    <w:p w14:paraId="336DB6D5" w14:textId="77777777" w:rsidR="003D26AC" w:rsidRPr="00706E4B" w:rsidRDefault="003D26AC" w:rsidP="00602AF3">
      <w:pPr>
        <w:jc w:val="both"/>
        <w:rPr>
          <w:rFonts w:ascii="Garamond" w:eastAsia="Arial" w:hAnsi="Garamond" w:cs="Arial"/>
          <w:sz w:val="24"/>
          <w:szCs w:val="24"/>
          <w:highlight w:val="yellow"/>
        </w:rPr>
      </w:pPr>
    </w:p>
    <w:p w14:paraId="130BE6E4" w14:textId="70FDD269" w:rsidR="003D26AC" w:rsidRPr="00706E4B" w:rsidRDefault="003D26AC" w:rsidP="00602AF3">
      <w:pPr>
        <w:jc w:val="both"/>
        <w:rPr>
          <w:rFonts w:ascii="Garamond" w:eastAsia="Arial" w:hAnsi="Garamond" w:cs="Arial"/>
          <w:b/>
          <w:bCs/>
          <w:sz w:val="24"/>
          <w:szCs w:val="24"/>
        </w:rPr>
      </w:pPr>
      <w:r w:rsidRPr="00706E4B">
        <w:rPr>
          <w:rFonts w:ascii="Garamond" w:eastAsia="Arial" w:hAnsi="Garamond" w:cs="Arial"/>
          <w:sz w:val="24"/>
          <w:szCs w:val="24"/>
        </w:rPr>
        <w:t>El Fondo de Desarrollo Local de Ciudad Bolívar, elabora el análisis del sector, como documento anexo al estudio previo en cumplimiento a lo establecido en el Plan de Desarrollo Económico, Social, Ambiental y de Obras Públicas para la Lo</w:t>
      </w:r>
      <w:r w:rsidR="00397461" w:rsidRPr="00706E4B">
        <w:rPr>
          <w:rFonts w:ascii="Garamond" w:eastAsia="Arial" w:hAnsi="Garamond" w:cs="Arial"/>
          <w:sz w:val="24"/>
          <w:szCs w:val="24"/>
        </w:rPr>
        <w:t>calidad de Ciudad Bolívar - 2025-2028</w:t>
      </w:r>
      <w:r w:rsidRPr="00706E4B">
        <w:rPr>
          <w:rFonts w:ascii="Garamond" w:eastAsia="Arial" w:hAnsi="Garamond" w:cs="Arial"/>
          <w:sz w:val="24"/>
          <w:szCs w:val="24"/>
        </w:rPr>
        <w:t xml:space="preserve">, denominado </w:t>
      </w:r>
      <w:r w:rsidR="00397461" w:rsidRPr="00706E4B">
        <w:rPr>
          <w:rFonts w:ascii="Garamond" w:eastAsia="Arial" w:hAnsi="Garamond" w:cs="Arial"/>
          <w:b/>
          <w:bCs/>
          <w:sz w:val="24"/>
          <w:szCs w:val="24"/>
        </w:rPr>
        <w:t>"</w:t>
      </w:r>
      <w:r w:rsidRPr="00706E4B">
        <w:rPr>
          <w:rFonts w:ascii="Garamond" w:eastAsia="Arial" w:hAnsi="Garamond" w:cs="Arial"/>
          <w:b/>
          <w:bCs/>
          <w:sz w:val="24"/>
          <w:szCs w:val="24"/>
        </w:rPr>
        <w:t>CIUDAD BOLÍVAR</w:t>
      </w:r>
      <w:r w:rsidR="00802C6F" w:rsidRPr="00706E4B">
        <w:rPr>
          <w:rFonts w:ascii="Garamond" w:eastAsia="Arial" w:hAnsi="Garamond" w:cs="Arial"/>
          <w:b/>
          <w:bCs/>
          <w:sz w:val="24"/>
          <w:szCs w:val="24"/>
        </w:rPr>
        <w:t xml:space="preserve">, </w:t>
      </w:r>
      <w:r w:rsidR="00397461" w:rsidRPr="00706E4B">
        <w:rPr>
          <w:rFonts w:ascii="Garamond" w:eastAsia="Arial" w:hAnsi="Garamond" w:cs="Arial"/>
          <w:b/>
          <w:bCs/>
          <w:sz w:val="24"/>
          <w:szCs w:val="24"/>
        </w:rPr>
        <w:t>CAMINA SEGURA</w:t>
      </w:r>
      <w:r w:rsidRPr="00706E4B">
        <w:rPr>
          <w:rFonts w:ascii="Garamond" w:eastAsia="Arial" w:hAnsi="Garamond" w:cs="Arial"/>
          <w:b/>
          <w:bCs/>
          <w:sz w:val="24"/>
          <w:szCs w:val="24"/>
        </w:rPr>
        <w:t>”</w:t>
      </w:r>
    </w:p>
    <w:p w14:paraId="4AA586AE" w14:textId="77777777" w:rsidR="003D26AC" w:rsidRPr="00706E4B" w:rsidRDefault="003D26AC" w:rsidP="00602AF3">
      <w:pPr>
        <w:jc w:val="both"/>
        <w:rPr>
          <w:rFonts w:ascii="Garamond" w:eastAsia="Arial" w:hAnsi="Garamond" w:cs="Arial"/>
          <w:sz w:val="24"/>
          <w:szCs w:val="24"/>
        </w:rPr>
      </w:pPr>
    </w:p>
    <w:p w14:paraId="4B2C907C" w14:textId="77777777" w:rsidR="003D26AC" w:rsidRPr="00706E4B" w:rsidRDefault="003D26AC" w:rsidP="00602AF3">
      <w:pPr>
        <w:jc w:val="both"/>
        <w:rPr>
          <w:rFonts w:ascii="Garamond" w:eastAsia="Arial" w:hAnsi="Garamond" w:cs="Arial"/>
          <w:sz w:val="24"/>
          <w:szCs w:val="24"/>
        </w:rPr>
      </w:pPr>
      <w:r w:rsidRPr="00706E4B">
        <w:rPr>
          <w:rFonts w:ascii="Garamond" w:eastAsia="Arial" w:hAnsi="Garamond" w:cs="Arial"/>
          <w:sz w:val="24"/>
          <w:szCs w:val="24"/>
        </w:rPr>
        <w:t>El análisis del sector ofrece herramientas para establecer el contexto del Proceso de Contratación, identificar algunos de los Riesgos, determinar los requisitos habilitantes y la forma de evaluar las ofertas.</w:t>
      </w:r>
    </w:p>
    <w:p w14:paraId="07AFC5A2" w14:textId="77777777" w:rsidR="003D26AC" w:rsidRPr="00706E4B" w:rsidRDefault="003D26AC" w:rsidP="00602AF3">
      <w:pPr>
        <w:jc w:val="both"/>
        <w:rPr>
          <w:rFonts w:ascii="Garamond" w:eastAsia="Arial" w:hAnsi="Garamond" w:cs="Arial"/>
          <w:sz w:val="24"/>
          <w:szCs w:val="24"/>
        </w:rPr>
      </w:pPr>
    </w:p>
    <w:p w14:paraId="32DD54D1" w14:textId="77777777" w:rsidR="008F767C" w:rsidRDefault="003D26AC" w:rsidP="008F767C">
      <w:pPr>
        <w:jc w:val="both"/>
        <w:rPr>
          <w:rFonts w:ascii="Garamond" w:eastAsia="Arial" w:hAnsi="Garamond" w:cs="Arial"/>
          <w:sz w:val="24"/>
          <w:szCs w:val="24"/>
        </w:rPr>
      </w:pPr>
      <w:r w:rsidRPr="00706E4B">
        <w:rPr>
          <w:rFonts w:ascii="Garamond" w:eastAsia="Arial" w:hAnsi="Garamond" w:cs="Arial"/>
          <w:sz w:val="24"/>
          <w:szCs w:val="24"/>
        </w:rPr>
        <w:t>Lo anterior, con el fin de conocer el sector en lo relativo al objeto del Proceso de Contratación desde la perspectiva económica, legal, comercial, financiera, organizacional, técnica y de análisis de riesgos</w:t>
      </w:r>
      <w:r w:rsidR="002B6C0C" w:rsidRPr="00706E4B">
        <w:rPr>
          <w:rFonts w:ascii="Garamond" w:eastAsia="Arial" w:hAnsi="Garamond" w:cs="Arial"/>
          <w:sz w:val="24"/>
          <w:szCs w:val="24"/>
        </w:rPr>
        <w:t>.</w:t>
      </w:r>
    </w:p>
    <w:p w14:paraId="35877BFA" w14:textId="77777777" w:rsidR="00706E4B" w:rsidRPr="00706E4B" w:rsidRDefault="00706E4B" w:rsidP="008F767C">
      <w:pPr>
        <w:jc w:val="both"/>
        <w:rPr>
          <w:rFonts w:ascii="Garamond" w:eastAsia="Arial" w:hAnsi="Garamond" w:cs="Arial"/>
          <w:sz w:val="24"/>
          <w:szCs w:val="24"/>
        </w:rPr>
      </w:pPr>
    </w:p>
    <w:p w14:paraId="2D300E0E" w14:textId="03140A57" w:rsidR="00EC59A1" w:rsidRPr="00706E4B" w:rsidRDefault="003D26AC" w:rsidP="008F767C">
      <w:pPr>
        <w:jc w:val="both"/>
        <w:rPr>
          <w:rFonts w:ascii="Garamond" w:eastAsia="Arial" w:hAnsi="Garamond" w:cs="Arial"/>
          <w:sz w:val="24"/>
          <w:szCs w:val="24"/>
          <w:highlight w:val="yellow"/>
        </w:rPr>
      </w:pPr>
      <w:r w:rsidRPr="00706E4B">
        <w:rPr>
          <w:rFonts w:ascii="Garamond" w:eastAsia="Arial" w:hAnsi="Garamond" w:cs="Arial"/>
          <w:b/>
          <w:bCs/>
          <w:sz w:val="24"/>
          <w:szCs w:val="24"/>
        </w:rPr>
        <w:lastRenderedPageBreak/>
        <w:t>OBJETIVO DEL ESTUDIO DEL SECTOR</w:t>
      </w:r>
      <w:r w:rsidRPr="00706E4B">
        <w:rPr>
          <w:rFonts w:ascii="Garamond" w:eastAsia="Arial" w:hAnsi="Garamond" w:cs="Arial"/>
          <w:sz w:val="24"/>
          <w:szCs w:val="24"/>
        </w:rPr>
        <w:t xml:space="preserve">. </w:t>
      </w:r>
    </w:p>
    <w:p w14:paraId="23B53558" w14:textId="77777777" w:rsidR="00C35A64" w:rsidRPr="00706E4B" w:rsidRDefault="00C35A64" w:rsidP="00FE0D26">
      <w:pPr>
        <w:spacing w:line="276" w:lineRule="auto"/>
        <w:jc w:val="both"/>
        <w:rPr>
          <w:rFonts w:ascii="Garamond" w:eastAsia="Arial" w:hAnsi="Garamond" w:cs="Arial"/>
          <w:sz w:val="24"/>
          <w:szCs w:val="24"/>
        </w:rPr>
      </w:pPr>
    </w:p>
    <w:p w14:paraId="18A4DE34" w14:textId="77777777" w:rsidR="006C29AF" w:rsidRPr="00706E4B" w:rsidRDefault="006C29AF" w:rsidP="007B6D85">
      <w:pPr>
        <w:jc w:val="both"/>
        <w:rPr>
          <w:rFonts w:ascii="Garamond" w:eastAsia="Arial" w:hAnsi="Garamond" w:cs="Arial"/>
          <w:sz w:val="24"/>
          <w:szCs w:val="24"/>
        </w:rPr>
      </w:pPr>
      <w:r w:rsidRPr="00706E4B">
        <w:rPr>
          <w:rFonts w:ascii="Garamond" w:eastAsia="Arial" w:hAnsi="Garamond" w:cs="Arial"/>
          <w:sz w:val="24"/>
          <w:szCs w:val="24"/>
        </w:rPr>
        <w:t>Identificar y analizar las condiciones del mercado (proveedores, productos, precios y regulaciones) relacionadas con los bienes y servicios requeridos, con el fin de establecer comparaciones y asignar valores adecuados en el proceso de contratación. Esto desde una perspectiva legal, comercial, financiera, organizacional, técnica y de riesgos, asegurando que la entidad conozca a profundidad el sector relativo al objeto contractual</w:t>
      </w:r>
      <w:r w:rsidRPr="00706E4B">
        <w:rPr>
          <w:rFonts w:eastAsia="Arial"/>
          <w:sz w:val="24"/>
          <w:szCs w:val="24"/>
        </w:rPr>
        <w:t>​</w:t>
      </w:r>
      <w:r w:rsidRPr="00706E4B">
        <w:rPr>
          <w:rFonts w:ascii="Garamond" w:eastAsia="Arial" w:hAnsi="Garamond" w:cs="Arial"/>
          <w:sz w:val="24"/>
          <w:szCs w:val="24"/>
        </w:rPr>
        <w:t>. En esencia, el estudio de sector busca suministrar insumos para definir los requisitos del contrato y los criterios de selección más apropiados, de modo que se garantice la libre concurrencia de oferentes y la obtención de la mejor oferta posible para la entidad.</w:t>
      </w:r>
    </w:p>
    <w:p w14:paraId="4D251ED7" w14:textId="77777777" w:rsidR="00EC59A1" w:rsidRPr="00706E4B" w:rsidRDefault="00EC59A1" w:rsidP="007B6D85">
      <w:pPr>
        <w:jc w:val="both"/>
        <w:rPr>
          <w:rFonts w:ascii="Garamond" w:eastAsia="Arial" w:hAnsi="Garamond" w:cs="Arial"/>
          <w:sz w:val="24"/>
          <w:szCs w:val="24"/>
        </w:rPr>
      </w:pPr>
    </w:p>
    <w:p w14:paraId="083570AF" w14:textId="456B6D1B" w:rsidR="00EC59A1" w:rsidRPr="00706E4B" w:rsidRDefault="00EC59A1" w:rsidP="007B6D85">
      <w:pPr>
        <w:spacing w:after="160"/>
        <w:contextualSpacing/>
        <w:jc w:val="both"/>
        <w:rPr>
          <w:rFonts w:ascii="Garamond" w:eastAsia="Arial" w:hAnsi="Garamond" w:cs="Arial"/>
          <w:sz w:val="24"/>
          <w:szCs w:val="24"/>
        </w:rPr>
      </w:pPr>
      <w:r w:rsidRPr="00706E4B">
        <w:rPr>
          <w:rFonts w:ascii="Garamond" w:eastAsia="Arial" w:hAnsi="Garamond" w:cs="Arial"/>
          <w:b/>
          <w:bCs/>
          <w:sz w:val="24"/>
          <w:szCs w:val="24"/>
        </w:rPr>
        <w:t>ALCANCE.</w:t>
      </w:r>
      <w:r w:rsidRPr="00706E4B">
        <w:rPr>
          <w:rFonts w:ascii="Garamond" w:eastAsia="Arial" w:hAnsi="Garamond" w:cs="Arial"/>
          <w:sz w:val="24"/>
          <w:szCs w:val="24"/>
        </w:rPr>
        <w:t xml:space="preserve"> </w:t>
      </w:r>
      <w:r w:rsidR="008C1714" w:rsidRPr="00706E4B">
        <w:rPr>
          <w:rFonts w:ascii="Garamond" w:eastAsia="Arial" w:hAnsi="Garamond" w:cs="Arial"/>
          <w:sz w:val="24"/>
          <w:szCs w:val="24"/>
        </w:rPr>
        <w:t>El alcance de este estudio incluye la recolección, análisis y comparación de información pertinente sobre bienes y servicios que satisfagan las necesidades objeto de la contratación. Se cubre el contexto financiero, económico y competitivo del sector, permitiendo establecer parámetros de costo y calidad esperados, así como condiciones de mercado que influirán en el proceso</w:t>
      </w:r>
      <w:r w:rsidR="008C1714" w:rsidRPr="00706E4B">
        <w:rPr>
          <w:rFonts w:eastAsia="Arial"/>
          <w:sz w:val="24"/>
          <w:szCs w:val="24"/>
        </w:rPr>
        <w:t>​</w:t>
      </w:r>
      <w:r w:rsidR="008C1714" w:rsidRPr="00706E4B">
        <w:rPr>
          <w:rFonts w:ascii="Garamond" w:eastAsia="Arial" w:hAnsi="Garamond" w:cs="Arial"/>
          <w:sz w:val="24"/>
          <w:szCs w:val="24"/>
        </w:rPr>
        <w:t>. De esta manera, se delimita el entorno en el cual se desarrollará el proceso contractual, brindando a la entidad una visión integral para la toma de decisiones durante la planeación de la contratación.</w:t>
      </w:r>
    </w:p>
    <w:p w14:paraId="05309590" w14:textId="77777777" w:rsidR="00EC59A1" w:rsidRPr="00706E4B" w:rsidRDefault="00EC59A1" w:rsidP="00FE0D26">
      <w:pPr>
        <w:spacing w:after="160" w:line="276" w:lineRule="auto"/>
        <w:ind w:left="360"/>
        <w:contextualSpacing/>
        <w:jc w:val="both"/>
        <w:rPr>
          <w:rFonts w:ascii="Garamond" w:eastAsia="Arial" w:hAnsi="Garamond" w:cs="Arial"/>
          <w:sz w:val="24"/>
          <w:szCs w:val="24"/>
        </w:rPr>
      </w:pPr>
    </w:p>
    <w:p w14:paraId="33E65A54" w14:textId="77777777" w:rsidR="00EC59A1" w:rsidRPr="00706E4B" w:rsidRDefault="00EC59A1" w:rsidP="007B6D85">
      <w:pPr>
        <w:spacing w:after="160"/>
        <w:contextualSpacing/>
        <w:jc w:val="both"/>
        <w:rPr>
          <w:rFonts w:ascii="Garamond" w:eastAsia="Arial" w:hAnsi="Garamond" w:cs="Arial"/>
          <w:sz w:val="24"/>
          <w:szCs w:val="24"/>
        </w:rPr>
      </w:pPr>
      <w:r w:rsidRPr="00706E4B">
        <w:rPr>
          <w:rFonts w:ascii="Garamond" w:eastAsia="Arial" w:hAnsi="Garamond" w:cs="Arial"/>
          <w:b/>
          <w:bCs/>
          <w:sz w:val="24"/>
          <w:szCs w:val="24"/>
        </w:rPr>
        <w:t>ESTRUCTURA DEL ANÁLISIS DEL SECTOR</w:t>
      </w:r>
      <w:r w:rsidRPr="00706E4B">
        <w:rPr>
          <w:rFonts w:ascii="Garamond" w:eastAsia="Arial" w:hAnsi="Garamond" w:cs="Arial"/>
          <w:sz w:val="24"/>
          <w:szCs w:val="24"/>
        </w:rPr>
        <w:t>. El presente análisis contiene frente al sector objeto de contratación.</w:t>
      </w:r>
    </w:p>
    <w:p w14:paraId="27241804" w14:textId="6EFC428F" w:rsidR="00EC59A1" w:rsidRPr="00706E4B" w:rsidRDefault="00EC59A1" w:rsidP="00824526">
      <w:pPr>
        <w:pStyle w:val="Prrafodelista"/>
        <w:numPr>
          <w:ilvl w:val="0"/>
          <w:numId w:val="1"/>
        </w:numPr>
        <w:spacing w:line="276" w:lineRule="auto"/>
        <w:jc w:val="both"/>
        <w:rPr>
          <w:rFonts w:ascii="Garamond" w:eastAsia="Arial" w:hAnsi="Garamond" w:cs="Arial"/>
          <w:sz w:val="24"/>
          <w:szCs w:val="24"/>
        </w:rPr>
      </w:pPr>
      <w:bookmarkStart w:id="3" w:name="_Hlk125309659"/>
      <w:r w:rsidRPr="00706E4B">
        <w:rPr>
          <w:rFonts w:ascii="Garamond" w:eastAsia="Arial" w:hAnsi="Garamond" w:cs="Arial"/>
          <w:sz w:val="24"/>
          <w:szCs w:val="24"/>
        </w:rPr>
        <w:t>Aspectos Generales</w:t>
      </w:r>
      <w:r w:rsidR="0050722D" w:rsidRPr="00706E4B">
        <w:rPr>
          <w:rFonts w:ascii="Garamond" w:eastAsia="Arial" w:hAnsi="Garamond" w:cs="Arial"/>
          <w:sz w:val="24"/>
          <w:szCs w:val="24"/>
        </w:rPr>
        <w:t xml:space="preserve"> </w:t>
      </w:r>
      <w:r w:rsidR="00A36DD0" w:rsidRPr="00706E4B">
        <w:rPr>
          <w:rFonts w:ascii="Garamond" w:eastAsia="Arial" w:hAnsi="Garamond" w:cs="Arial"/>
          <w:sz w:val="24"/>
          <w:szCs w:val="24"/>
        </w:rPr>
        <w:t xml:space="preserve">del Mercado </w:t>
      </w:r>
    </w:p>
    <w:p w14:paraId="3580A06A" w14:textId="13685971" w:rsidR="00EC59A1" w:rsidRPr="00706E4B" w:rsidRDefault="00ED3300" w:rsidP="004C5A04">
      <w:pPr>
        <w:pStyle w:val="Prrafodelista"/>
        <w:numPr>
          <w:ilvl w:val="0"/>
          <w:numId w:val="1"/>
        </w:numPr>
        <w:spacing w:line="276" w:lineRule="auto"/>
        <w:jc w:val="both"/>
        <w:rPr>
          <w:rFonts w:ascii="Garamond" w:eastAsia="Arial" w:hAnsi="Garamond" w:cs="Arial"/>
          <w:sz w:val="24"/>
          <w:szCs w:val="24"/>
        </w:rPr>
      </w:pPr>
      <w:r w:rsidRPr="00706E4B">
        <w:rPr>
          <w:rFonts w:ascii="Garamond" w:eastAsia="Arial" w:hAnsi="Garamond" w:cs="Arial"/>
          <w:sz w:val="24"/>
          <w:szCs w:val="24"/>
        </w:rPr>
        <w:t>Comportamiento del Gasto histórico</w:t>
      </w:r>
    </w:p>
    <w:p w14:paraId="60250872" w14:textId="237DF2FC" w:rsidR="002E4533" w:rsidRPr="00706E4B" w:rsidRDefault="002E4533" w:rsidP="002E4533">
      <w:pPr>
        <w:pStyle w:val="Prrafodelista"/>
        <w:numPr>
          <w:ilvl w:val="0"/>
          <w:numId w:val="1"/>
        </w:numPr>
        <w:spacing w:line="276" w:lineRule="auto"/>
        <w:jc w:val="both"/>
        <w:rPr>
          <w:rFonts w:ascii="Garamond" w:eastAsia="Arial" w:hAnsi="Garamond" w:cs="Arial"/>
          <w:sz w:val="24"/>
          <w:szCs w:val="24"/>
        </w:rPr>
      </w:pPr>
      <w:r w:rsidRPr="00706E4B">
        <w:rPr>
          <w:rFonts w:ascii="Garamond" w:eastAsia="Arial" w:hAnsi="Garamond" w:cs="Arial"/>
          <w:sz w:val="24"/>
          <w:szCs w:val="24"/>
        </w:rPr>
        <w:t xml:space="preserve">Estudio de </w:t>
      </w:r>
      <w:r w:rsidR="009D6934" w:rsidRPr="00706E4B">
        <w:rPr>
          <w:rFonts w:ascii="Garamond" w:eastAsia="Arial" w:hAnsi="Garamond" w:cs="Arial"/>
          <w:sz w:val="24"/>
          <w:szCs w:val="24"/>
        </w:rPr>
        <w:t>la Oferta</w:t>
      </w:r>
      <w:r w:rsidRPr="00706E4B">
        <w:rPr>
          <w:rFonts w:ascii="Garamond" w:eastAsia="Arial" w:hAnsi="Garamond" w:cs="Arial"/>
          <w:sz w:val="24"/>
          <w:szCs w:val="24"/>
        </w:rPr>
        <w:t xml:space="preserve"> </w:t>
      </w:r>
    </w:p>
    <w:p w14:paraId="0CD2DF13" w14:textId="2ED3EDEB" w:rsidR="00EC59A1" w:rsidRPr="00706E4B" w:rsidRDefault="00A20B6E" w:rsidP="004C5A04">
      <w:pPr>
        <w:pStyle w:val="Prrafodelista"/>
        <w:numPr>
          <w:ilvl w:val="0"/>
          <w:numId w:val="1"/>
        </w:numPr>
        <w:spacing w:line="276" w:lineRule="auto"/>
        <w:jc w:val="both"/>
        <w:rPr>
          <w:rFonts w:ascii="Garamond" w:eastAsia="Arial" w:hAnsi="Garamond" w:cs="Arial"/>
          <w:sz w:val="24"/>
          <w:szCs w:val="24"/>
        </w:rPr>
      </w:pPr>
      <w:r w:rsidRPr="00706E4B">
        <w:rPr>
          <w:rFonts w:ascii="Garamond" w:eastAsia="Arial" w:hAnsi="Garamond" w:cs="Arial"/>
          <w:sz w:val="24"/>
          <w:szCs w:val="24"/>
        </w:rPr>
        <w:t xml:space="preserve">Estudio del Mercado </w:t>
      </w:r>
    </w:p>
    <w:p w14:paraId="10C4862A" w14:textId="36F5D586" w:rsidR="00EC59A1" w:rsidRPr="00706E4B" w:rsidRDefault="0084703A" w:rsidP="004C5A04">
      <w:pPr>
        <w:pStyle w:val="Prrafodelista"/>
        <w:numPr>
          <w:ilvl w:val="0"/>
          <w:numId w:val="1"/>
        </w:numPr>
        <w:spacing w:line="276" w:lineRule="auto"/>
        <w:jc w:val="both"/>
        <w:rPr>
          <w:rFonts w:ascii="Garamond" w:eastAsia="Arial" w:hAnsi="Garamond" w:cs="Arial"/>
          <w:sz w:val="24"/>
          <w:szCs w:val="24"/>
        </w:rPr>
      </w:pPr>
      <w:r w:rsidRPr="00706E4B">
        <w:rPr>
          <w:rFonts w:ascii="Garamond" w:eastAsia="Arial" w:hAnsi="Garamond" w:cs="Arial"/>
          <w:sz w:val="24"/>
          <w:szCs w:val="24"/>
        </w:rPr>
        <w:t>C</w:t>
      </w:r>
      <w:r w:rsidR="00BC349E" w:rsidRPr="00706E4B">
        <w:rPr>
          <w:rFonts w:ascii="Garamond" w:eastAsia="Arial" w:hAnsi="Garamond" w:cs="Arial"/>
          <w:sz w:val="24"/>
          <w:szCs w:val="24"/>
        </w:rPr>
        <w:t>onclusión</w:t>
      </w:r>
    </w:p>
    <w:bookmarkEnd w:id="3"/>
    <w:p w14:paraId="31624D08" w14:textId="77777777" w:rsidR="00DD5A2B" w:rsidRPr="00706E4B" w:rsidRDefault="00DD5A2B" w:rsidP="00FE0D26">
      <w:pPr>
        <w:pStyle w:val="Prrafodelista"/>
        <w:spacing w:line="276" w:lineRule="auto"/>
        <w:ind w:left="1080"/>
        <w:jc w:val="both"/>
        <w:rPr>
          <w:rFonts w:ascii="Garamond" w:eastAsia="Arial" w:hAnsi="Garamond" w:cs="Arial"/>
          <w:b/>
          <w:sz w:val="24"/>
          <w:szCs w:val="24"/>
        </w:rPr>
      </w:pPr>
    </w:p>
    <w:p w14:paraId="3E107438" w14:textId="0194F584" w:rsidR="000670A2" w:rsidRPr="00706E4B" w:rsidRDefault="000670A2" w:rsidP="0009556B">
      <w:pPr>
        <w:pStyle w:val="Prrafodelista"/>
        <w:numPr>
          <w:ilvl w:val="0"/>
          <w:numId w:val="3"/>
        </w:numPr>
        <w:spacing w:line="276" w:lineRule="auto"/>
        <w:jc w:val="both"/>
        <w:rPr>
          <w:rFonts w:ascii="Garamond" w:eastAsia="Arial" w:hAnsi="Garamond" w:cs="Arial"/>
          <w:b/>
          <w:sz w:val="24"/>
          <w:szCs w:val="24"/>
        </w:rPr>
      </w:pPr>
      <w:r w:rsidRPr="00706E4B">
        <w:rPr>
          <w:rFonts w:ascii="Garamond" w:hAnsi="Garamond" w:cs="Segoe UI"/>
          <w:b/>
          <w:bCs/>
          <w:sz w:val="24"/>
          <w:szCs w:val="24"/>
          <w:lang w:eastAsia="es-CO"/>
        </w:rPr>
        <w:t>ASPECTOS GENERALES</w:t>
      </w:r>
      <w:r w:rsidR="00630D15" w:rsidRPr="00706E4B">
        <w:rPr>
          <w:rFonts w:ascii="Garamond" w:hAnsi="Garamond" w:cs="Segoe UI"/>
          <w:b/>
          <w:bCs/>
          <w:sz w:val="24"/>
          <w:szCs w:val="24"/>
          <w:lang w:eastAsia="es-CO"/>
        </w:rPr>
        <w:t xml:space="preserve"> DEL MERCADO </w:t>
      </w:r>
      <w:r w:rsidRPr="00706E4B">
        <w:rPr>
          <w:rFonts w:ascii="Garamond" w:hAnsi="Garamond" w:cs="Segoe UI"/>
          <w:b/>
          <w:bCs/>
          <w:sz w:val="24"/>
          <w:szCs w:val="24"/>
          <w:lang w:eastAsia="es-CO"/>
        </w:rPr>
        <w:t> </w:t>
      </w:r>
      <w:r w:rsidRPr="00706E4B">
        <w:rPr>
          <w:rFonts w:ascii="Garamond" w:hAnsi="Garamond" w:cs="Segoe UI"/>
          <w:sz w:val="24"/>
          <w:szCs w:val="24"/>
          <w:lang w:eastAsia="es-CO"/>
        </w:rPr>
        <w:t> </w:t>
      </w:r>
      <w:r w:rsidRPr="00706E4B">
        <w:rPr>
          <w:rFonts w:ascii="Garamond" w:hAnsi="Garamond" w:cs="Segoe UI"/>
          <w:b/>
          <w:bCs/>
          <w:sz w:val="24"/>
          <w:szCs w:val="24"/>
          <w:lang w:eastAsia="es-CO"/>
        </w:rPr>
        <w:t> </w:t>
      </w:r>
      <w:r w:rsidRPr="00706E4B">
        <w:rPr>
          <w:rFonts w:ascii="Garamond" w:hAnsi="Garamond" w:cs="Segoe UI"/>
          <w:sz w:val="24"/>
          <w:szCs w:val="24"/>
          <w:lang w:eastAsia="es-CO"/>
        </w:rPr>
        <w:t> </w:t>
      </w:r>
    </w:p>
    <w:p w14:paraId="649A8AC5" w14:textId="77777777" w:rsidR="000A7C95" w:rsidRPr="00706E4B" w:rsidRDefault="000A7C95" w:rsidP="00FE0D26">
      <w:pPr>
        <w:pStyle w:val="Prrafodelista"/>
        <w:spacing w:line="276" w:lineRule="auto"/>
        <w:ind w:left="426"/>
        <w:jc w:val="both"/>
        <w:rPr>
          <w:rFonts w:ascii="Garamond" w:eastAsia="Arial" w:hAnsi="Garamond" w:cs="Arial"/>
          <w:b/>
          <w:sz w:val="24"/>
          <w:szCs w:val="24"/>
        </w:rPr>
      </w:pPr>
    </w:p>
    <w:p w14:paraId="3EE82F8E" w14:textId="06A906A5" w:rsidR="000A7C95" w:rsidRPr="00706E4B" w:rsidRDefault="000A7C95" w:rsidP="0009556B">
      <w:pPr>
        <w:pStyle w:val="Prrafodelista"/>
        <w:numPr>
          <w:ilvl w:val="1"/>
          <w:numId w:val="3"/>
        </w:numPr>
        <w:spacing w:line="276" w:lineRule="auto"/>
        <w:ind w:left="426" w:hanging="426"/>
        <w:jc w:val="both"/>
        <w:rPr>
          <w:rFonts w:ascii="Garamond" w:eastAsia="Arial" w:hAnsi="Garamond" w:cs="Arial"/>
          <w:b/>
          <w:sz w:val="24"/>
          <w:szCs w:val="24"/>
        </w:rPr>
      </w:pPr>
      <w:r w:rsidRPr="00706E4B">
        <w:rPr>
          <w:rFonts w:ascii="Garamond" w:eastAsia="Arial" w:hAnsi="Garamond" w:cs="Arial"/>
          <w:b/>
          <w:sz w:val="24"/>
          <w:szCs w:val="24"/>
        </w:rPr>
        <w:t>Identificación del sector</w:t>
      </w:r>
      <w:r w:rsidRPr="00706E4B">
        <w:rPr>
          <w:rFonts w:ascii="Garamond" w:eastAsia="Arial" w:hAnsi="Garamond" w:cs="Arial"/>
          <w:b/>
          <w:sz w:val="24"/>
          <w:szCs w:val="24"/>
        </w:rPr>
        <w:tab/>
      </w:r>
    </w:p>
    <w:p w14:paraId="2607241B" w14:textId="4A63013B" w:rsidR="00A876ED" w:rsidRPr="00706E4B" w:rsidRDefault="000A7C95" w:rsidP="00A876ED">
      <w:pPr>
        <w:pStyle w:val="Standard"/>
        <w:jc w:val="both"/>
        <w:rPr>
          <w:rFonts w:ascii="Garamond" w:eastAsia="Droid Sans" w:hAnsi="Garamond" w:cs="Arial"/>
          <w:b/>
          <w:bCs/>
          <w:sz w:val="24"/>
          <w:szCs w:val="24"/>
          <w:lang w:bidi="hi-IN"/>
        </w:rPr>
      </w:pPr>
      <w:r w:rsidRPr="00706E4B">
        <w:rPr>
          <w:rFonts w:ascii="Garamond" w:eastAsia="Arial" w:hAnsi="Garamond" w:cs="Arial"/>
          <w:bCs/>
          <w:sz w:val="24"/>
          <w:szCs w:val="24"/>
        </w:rPr>
        <w:t xml:space="preserve">El objeto de la contratación a adelantar se encuentra en </w:t>
      </w:r>
      <w:r w:rsidR="00815A71" w:rsidRPr="00706E4B">
        <w:rPr>
          <w:rFonts w:ascii="Garamond" w:eastAsia="Arial" w:hAnsi="Garamond" w:cs="Arial"/>
          <w:bCs/>
          <w:sz w:val="24"/>
          <w:szCs w:val="24"/>
        </w:rPr>
        <w:t xml:space="preserve">el </w:t>
      </w:r>
      <w:r w:rsidR="00AE6BCF" w:rsidRPr="00706E4B">
        <w:rPr>
          <w:rFonts w:ascii="Garamond" w:eastAsia="Arial" w:hAnsi="Garamond" w:cs="Arial"/>
          <w:b/>
          <w:bCs/>
          <w:sz w:val="24"/>
          <w:szCs w:val="24"/>
        </w:rPr>
        <w:t xml:space="preserve">Sector Servicios, </w:t>
      </w:r>
      <w:r w:rsidR="004432A2" w:rsidRPr="00706E4B">
        <w:rPr>
          <w:rFonts w:ascii="Garamond" w:eastAsia="Arial" w:hAnsi="Garamond" w:cs="Arial"/>
          <w:bCs/>
          <w:sz w:val="24"/>
          <w:szCs w:val="24"/>
        </w:rPr>
        <w:t xml:space="preserve">al tratarse de la prestación de servicios </w:t>
      </w:r>
      <w:r w:rsidR="001D0738" w:rsidRPr="00706E4B">
        <w:rPr>
          <w:rFonts w:ascii="Garamond" w:eastAsia="Arial" w:hAnsi="Garamond" w:cs="Arial"/>
          <w:bCs/>
          <w:sz w:val="24"/>
          <w:szCs w:val="24"/>
        </w:rPr>
        <w:t>propios de</w:t>
      </w:r>
      <w:r w:rsidR="004432A2" w:rsidRPr="00706E4B">
        <w:rPr>
          <w:rFonts w:ascii="Garamond" w:eastAsia="Arial" w:hAnsi="Garamond" w:cs="Arial"/>
          <w:bCs/>
          <w:sz w:val="24"/>
          <w:szCs w:val="24"/>
        </w:rPr>
        <w:t xml:space="preserve"> la educación c</w:t>
      </w:r>
      <w:r w:rsidR="00801627" w:rsidRPr="00706E4B">
        <w:rPr>
          <w:rFonts w:ascii="Garamond" w:eastAsia="Arial" w:hAnsi="Garamond" w:cs="Arial"/>
          <w:bCs/>
          <w:sz w:val="24"/>
          <w:szCs w:val="24"/>
        </w:rPr>
        <w:t>omo establece el objeto contractual</w:t>
      </w:r>
      <w:r w:rsidR="00947B27" w:rsidRPr="00706E4B">
        <w:rPr>
          <w:rFonts w:ascii="Garamond" w:eastAsia="Arial" w:hAnsi="Garamond" w:cs="Arial"/>
          <w:bCs/>
          <w:sz w:val="24"/>
          <w:szCs w:val="24"/>
        </w:rPr>
        <w:t>:</w:t>
      </w:r>
      <w:r w:rsidR="00A876ED" w:rsidRPr="00706E4B">
        <w:rPr>
          <w:rFonts w:ascii="Garamond" w:eastAsia="Arial" w:hAnsi="Garamond" w:cs="Arial"/>
          <w:bCs/>
          <w:sz w:val="24"/>
          <w:szCs w:val="24"/>
        </w:rPr>
        <w:t xml:space="preserve"> </w:t>
      </w:r>
      <w:r w:rsidR="0003455A" w:rsidRPr="00706E4B">
        <w:rPr>
          <w:rFonts w:ascii="Garamond" w:eastAsia="Droid Sans" w:hAnsi="Garamond" w:cs="Arial"/>
          <w:b/>
          <w:bCs/>
          <w:sz w:val="24"/>
          <w:szCs w:val="24"/>
          <w:lang w:bidi="hi-IN"/>
        </w:rPr>
        <w:t>“PRESTAR LOS SERVICIOS PARA DESARROLLAR LAS ACTIVIDADES QUE FORTALEZCAN LOS PROCESOS DE FORMACIÓN COMUNAL A DIGNATARIOS Y DIGNATARIAS DE LA LOCALIDAD, EN EL MARCO DE LAS METAS ESTABLECIDAS DENTRO DEL PLAN DE DESARROLLO LOCAL, VIGENCIA 2025”.</w:t>
      </w:r>
      <w:r w:rsidR="00A876ED" w:rsidRPr="00706E4B">
        <w:rPr>
          <w:rFonts w:ascii="Garamond" w:eastAsia="Droid Sans" w:hAnsi="Garamond" w:cs="Arial"/>
          <w:b/>
          <w:bCs/>
          <w:sz w:val="24"/>
          <w:szCs w:val="24"/>
          <w:lang w:bidi="hi-IN"/>
        </w:rPr>
        <w:t>”.</w:t>
      </w:r>
    </w:p>
    <w:p w14:paraId="5311E5D8" w14:textId="77777777" w:rsidR="00A876ED" w:rsidRPr="00706E4B" w:rsidRDefault="00A876ED" w:rsidP="00A876ED">
      <w:pPr>
        <w:pStyle w:val="Standard"/>
        <w:jc w:val="both"/>
        <w:rPr>
          <w:rFonts w:ascii="Garamond" w:eastAsia="Droid Sans" w:hAnsi="Garamond" w:cs="Arial"/>
          <w:sz w:val="24"/>
          <w:szCs w:val="24"/>
          <w:lang w:bidi="hi-IN"/>
        </w:rPr>
      </w:pPr>
    </w:p>
    <w:p w14:paraId="2679B629" w14:textId="55F23E07" w:rsidR="00815A71" w:rsidRPr="00706E4B" w:rsidRDefault="005F1E96" w:rsidP="00A876ED">
      <w:pPr>
        <w:ind w:right="192"/>
        <w:jc w:val="both"/>
        <w:rPr>
          <w:rFonts w:ascii="Garamond" w:eastAsia="Arial" w:hAnsi="Garamond" w:cs="Arial"/>
          <w:bCs/>
          <w:sz w:val="24"/>
          <w:szCs w:val="24"/>
        </w:rPr>
      </w:pPr>
      <w:r w:rsidRPr="00706E4B">
        <w:rPr>
          <w:rFonts w:ascii="Garamond" w:eastAsia="Arial" w:hAnsi="Garamond" w:cs="Arial"/>
          <w:bCs/>
          <w:sz w:val="24"/>
          <w:szCs w:val="24"/>
        </w:rPr>
        <w:t>Los servicios para contratar</w:t>
      </w:r>
      <w:r w:rsidR="00E9481E" w:rsidRPr="00706E4B">
        <w:rPr>
          <w:rFonts w:ascii="Garamond" w:eastAsia="Arial" w:hAnsi="Garamond" w:cs="Arial"/>
          <w:bCs/>
          <w:sz w:val="24"/>
          <w:szCs w:val="24"/>
        </w:rPr>
        <w:t xml:space="preserve"> </w:t>
      </w:r>
      <w:r w:rsidR="002600BB" w:rsidRPr="00706E4B">
        <w:rPr>
          <w:rFonts w:ascii="Garamond" w:eastAsia="Arial" w:hAnsi="Garamond" w:cs="Arial"/>
          <w:bCs/>
          <w:sz w:val="24"/>
          <w:szCs w:val="24"/>
        </w:rPr>
        <w:t>corresponden a actividades de carácter intangible propias del sector servicios</w:t>
      </w:r>
      <w:r w:rsidR="00A24B08" w:rsidRPr="00706E4B">
        <w:rPr>
          <w:rFonts w:ascii="Garamond" w:eastAsia="Arial" w:hAnsi="Garamond" w:cs="Arial"/>
          <w:bCs/>
          <w:sz w:val="24"/>
          <w:szCs w:val="24"/>
        </w:rPr>
        <w:t xml:space="preserve"> </w:t>
      </w:r>
      <w:r w:rsidR="00815A71" w:rsidRPr="00706E4B">
        <w:rPr>
          <w:rFonts w:ascii="Garamond" w:eastAsia="Arial" w:hAnsi="Garamond" w:cs="Arial"/>
          <w:bCs/>
          <w:sz w:val="24"/>
          <w:szCs w:val="24"/>
        </w:rPr>
        <w:t>que incluye actividades como la salud, la educación, el comercio, el turismo, entre otros</w:t>
      </w:r>
      <w:r w:rsidR="00A24B08" w:rsidRPr="00706E4B">
        <w:rPr>
          <w:rFonts w:ascii="Garamond" w:eastAsia="Arial" w:hAnsi="Garamond" w:cs="Arial"/>
          <w:bCs/>
          <w:sz w:val="24"/>
          <w:szCs w:val="24"/>
        </w:rPr>
        <w:t>, e</w:t>
      </w:r>
      <w:r w:rsidR="00802C6F" w:rsidRPr="00706E4B">
        <w:rPr>
          <w:rFonts w:ascii="Garamond" w:eastAsia="Arial" w:hAnsi="Garamond" w:cs="Arial"/>
          <w:bCs/>
          <w:sz w:val="24"/>
          <w:szCs w:val="24"/>
        </w:rPr>
        <w:t xml:space="preserve">s decir, </w:t>
      </w:r>
      <w:r w:rsidR="00802C6F" w:rsidRPr="00706E4B">
        <w:rPr>
          <w:rFonts w:ascii="Garamond" w:hAnsi="Garamond" w:cs="Open Sans"/>
          <w:color w:val="212529"/>
          <w:sz w:val="24"/>
          <w:szCs w:val="24"/>
          <w:shd w:val="clear" w:color="auto" w:fill="FFFFFF"/>
        </w:rPr>
        <w:t>todas aquellas actividades que generan beneficios intangibles.</w:t>
      </w:r>
      <w:r w:rsidR="00815A71" w:rsidRPr="00706E4B">
        <w:rPr>
          <w:rFonts w:ascii="Garamond" w:eastAsia="Arial" w:hAnsi="Garamond" w:cs="Arial"/>
          <w:bCs/>
          <w:sz w:val="24"/>
          <w:szCs w:val="24"/>
        </w:rPr>
        <w:t xml:space="preserve"> </w:t>
      </w:r>
    </w:p>
    <w:p w14:paraId="0952EC0B" w14:textId="77777777" w:rsidR="00815A71" w:rsidRPr="00706E4B" w:rsidRDefault="00815A71" w:rsidP="007B6D85">
      <w:pPr>
        <w:ind w:right="192"/>
        <w:jc w:val="both"/>
        <w:rPr>
          <w:rFonts w:ascii="Garamond" w:eastAsia="Arial" w:hAnsi="Garamond" w:cs="Arial"/>
          <w:bCs/>
          <w:sz w:val="24"/>
          <w:szCs w:val="24"/>
        </w:rPr>
      </w:pPr>
    </w:p>
    <w:p w14:paraId="1AFE764F" w14:textId="111C0C52" w:rsidR="00F97429" w:rsidRPr="00706E4B" w:rsidRDefault="00F97429" w:rsidP="007B6D85">
      <w:pPr>
        <w:jc w:val="both"/>
        <w:rPr>
          <w:rFonts w:ascii="Garamond" w:eastAsia="Arial" w:hAnsi="Garamond" w:cs="Arial"/>
          <w:bCs/>
          <w:sz w:val="24"/>
          <w:szCs w:val="24"/>
        </w:rPr>
      </w:pPr>
      <w:r w:rsidRPr="00706E4B">
        <w:rPr>
          <w:rFonts w:ascii="Garamond" w:eastAsia="Arial" w:hAnsi="Garamond" w:cs="Arial"/>
          <w:bCs/>
          <w:sz w:val="24"/>
          <w:szCs w:val="24"/>
        </w:rPr>
        <w:lastRenderedPageBreak/>
        <w:t xml:space="preserve">Para mayor claridad, a </w:t>
      </w:r>
      <w:r w:rsidR="00827735" w:rsidRPr="00706E4B">
        <w:rPr>
          <w:rFonts w:ascii="Garamond" w:eastAsia="Arial" w:hAnsi="Garamond" w:cs="Arial"/>
          <w:bCs/>
          <w:sz w:val="24"/>
          <w:szCs w:val="24"/>
        </w:rPr>
        <w:t>continuación,</w:t>
      </w:r>
      <w:r w:rsidR="005015B4" w:rsidRPr="00706E4B">
        <w:rPr>
          <w:rFonts w:ascii="Garamond" w:eastAsia="Arial" w:hAnsi="Garamond" w:cs="Arial"/>
          <w:bCs/>
          <w:sz w:val="24"/>
          <w:szCs w:val="24"/>
        </w:rPr>
        <w:t xml:space="preserve"> </w:t>
      </w:r>
      <w:r w:rsidRPr="00706E4B">
        <w:rPr>
          <w:rFonts w:ascii="Garamond" w:eastAsia="Arial" w:hAnsi="Garamond" w:cs="Arial"/>
          <w:bCs/>
          <w:sz w:val="24"/>
          <w:szCs w:val="24"/>
        </w:rPr>
        <w:t>se definen brevemente los tres sectores económicos</w:t>
      </w:r>
      <w:r w:rsidR="00586CC9" w:rsidRPr="00706E4B">
        <w:rPr>
          <w:rFonts w:ascii="Garamond" w:eastAsia="Arial" w:hAnsi="Garamond" w:cs="Arial"/>
          <w:bCs/>
          <w:sz w:val="24"/>
          <w:szCs w:val="24"/>
        </w:rPr>
        <w:t xml:space="preserve"> existentes</w:t>
      </w:r>
      <w:r w:rsidRPr="00706E4B">
        <w:rPr>
          <w:rFonts w:ascii="Garamond" w:eastAsia="Arial" w:hAnsi="Garamond" w:cs="Arial"/>
          <w:bCs/>
          <w:sz w:val="24"/>
          <w:szCs w:val="24"/>
        </w:rPr>
        <w:t>:</w:t>
      </w:r>
    </w:p>
    <w:p w14:paraId="2F0D7C1B" w14:textId="77777777" w:rsidR="00F97429" w:rsidRPr="00706E4B" w:rsidRDefault="00F97429" w:rsidP="007B6D85">
      <w:pPr>
        <w:jc w:val="both"/>
        <w:rPr>
          <w:rFonts w:ascii="Garamond" w:eastAsia="Arial" w:hAnsi="Garamond" w:cs="Arial"/>
          <w:bCs/>
          <w:sz w:val="24"/>
          <w:szCs w:val="24"/>
        </w:rPr>
      </w:pPr>
    </w:p>
    <w:p w14:paraId="335EF59F" w14:textId="77777777" w:rsidR="00F97429" w:rsidRPr="00706E4B" w:rsidRDefault="00F97429" w:rsidP="0009556B">
      <w:pPr>
        <w:pStyle w:val="Prrafodelista"/>
        <w:numPr>
          <w:ilvl w:val="0"/>
          <w:numId w:val="5"/>
        </w:numPr>
        <w:spacing w:line="240" w:lineRule="auto"/>
        <w:jc w:val="both"/>
        <w:rPr>
          <w:rFonts w:ascii="Garamond" w:eastAsia="Arial" w:hAnsi="Garamond" w:cs="Arial"/>
          <w:bCs/>
          <w:sz w:val="24"/>
          <w:szCs w:val="24"/>
        </w:rPr>
      </w:pPr>
      <w:r w:rsidRPr="00706E4B">
        <w:rPr>
          <w:rFonts w:ascii="Garamond" w:eastAsia="Arial" w:hAnsi="Garamond" w:cs="Arial"/>
          <w:b/>
          <w:bCs/>
          <w:sz w:val="24"/>
          <w:szCs w:val="24"/>
        </w:rPr>
        <w:t>Sector primario:</w:t>
      </w:r>
      <w:r w:rsidRPr="00706E4B">
        <w:rPr>
          <w:rFonts w:ascii="Garamond" w:eastAsia="Arial" w:hAnsi="Garamond" w:cs="Arial"/>
          <w:bCs/>
          <w:sz w:val="24"/>
          <w:szCs w:val="24"/>
        </w:rPr>
        <w:t xml:space="preserve"> Comprende la extracción y producción de </w:t>
      </w:r>
      <w:r w:rsidRPr="00706E4B">
        <w:rPr>
          <w:rFonts w:ascii="Garamond" w:eastAsia="Arial" w:hAnsi="Garamond" w:cs="Arial"/>
          <w:b/>
          <w:bCs/>
          <w:sz w:val="24"/>
          <w:szCs w:val="24"/>
        </w:rPr>
        <w:t>materias primas</w:t>
      </w:r>
      <w:r w:rsidRPr="00706E4B">
        <w:rPr>
          <w:rFonts w:ascii="Garamond" w:eastAsia="Arial" w:hAnsi="Garamond" w:cs="Arial"/>
          <w:bCs/>
          <w:sz w:val="24"/>
          <w:szCs w:val="24"/>
        </w:rPr>
        <w:t>, como agricultura, ganadería, minería y pesca</w:t>
      </w:r>
      <w:r w:rsidRPr="00706E4B">
        <w:rPr>
          <w:rFonts w:ascii="Times New Roman" w:eastAsia="Arial" w:hAnsi="Times New Roman"/>
          <w:bCs/>
          <w:sz w:val="24"/>
          <w:szCs w:val="24"/>
        </w:rPr>
        <w:t>​</w:t>
      </w:r>
      <w:r w:rsidRPr="00706E4B">
        <w:rPr>
          <w:rFonts w:ascii="Garamond" w:eastAsia="Arial" w:hAnsi="Garamond" w:cs="Arial"/>
          <w:bCs/>
          <w:sz w:val="24"/>
          <w:szCs w:val="24"/>
        </w:rPr>
        <w:t>. (No aplica a este proyecto, dado que no involucra actividades agropecuarias ni extractivas).</w:t>
      </w:r>
    </w:p>
    <w:p w14:paraId="4061D349" w14:textId="77777777" w:rsidR="00586CC9" w:rsidRPr="00706E4B" w:rsidRDefault="00586CC9" w:rsidP="007B6D85">
      <w:pPr>
        <w:pStyle w:val="Prrafodelista"/>
        <w:spacing w:line="240" w:lineRule="auto"/>
        <w:ind w:left="360"/>
        <w:jc w:val="both"/>
        <w:rPr>
          <w:rFonts w:ascii="Garamond" w:eastAsia="Arial" w:hAnsi="Garamond" w:cs="Arial"/>
          <w:bCs/>
          <w:sz w:val="24"/>
          <w:szCs w:val="24"/>
        </w:rPr>
      </w:pPr>
    </w:p>
    <w:p w14:paraId="5D01981F" w14:textId="77777777" w:rsidR="00F97429" w:rsidRPr="00706E4B" w:rsidRDefault="00F97429" w:rsidP="0009556B">
      <w:pPr>
        <w:pStyle w:val="Prrafodelista"/>
        <w:numPr>
          <w:ilvl w:val="0"/>
          <w:numId w:val="5"/>
        </w:numPr>
        <w:spacing w:line="240" w:lineRule="auto"/>
        <w:jc w:val="both"/>
        <w:rPr>
          <w:rFonts w:ascii="Garamond" w:eastAsia="Arial" w:hAnsi="Garamond" w:cs="Arial"/>
          <w:bCs/>
          <w:sz w:val="24"/>
          <w:szCs w:val="24"/>
        </w:rPr>
      </w:pPr>
      <w:r w:rsidRPr="00706E4B">
        <w:rPr>
          <w:rFonts w:ascii="Garamond" w:eastAsia="Arial" w:hAnsi="Garamond" w:cs="Arial"/>
          <w:b/>
          <w:bCs/>
          <w:sz w:val="24"/>
          <w:szCs w:val="24"/>
        </w:rPr>
        <w:t>Sector secundario:</w:t>
      </w:r>
      <w:r w:rsidRPr="00706E4B">
        <w:rPr>
          <w:rFonts w:ascii="Garamond" w:eastAsia="Arial" w:hAnsi="Garamond" w:cs="Arial"/>
          <w:bCs/>
          <w:sz w:val="24"/>
          <w:szCs w:val="24"/>
        </w:rPr>
        <w:t xml:space="preserve"> Incluye la </w:t>
      </w:r>
      <w:r w:rsidRPr="00706E4B">
        <w:rPr>
          <w:rFonts w:ascii="Garamond" w:eastAsia="Arial" w:hAnsi="Garamond" w:cs="Arial"/>
          <w:b/>
          <w:bCs/>
          <w:sz w:val="24"/>
          <w:szCs w:val="24"/>
        </w:rPr>
        <w:t>industria y manufactura</w:t>
      </w:r>
      <w:r w:rsidRPr="00706E4B">
        <w:rPr>
          <w:rFonts w:ascii="Garamond" w:eastAsia="Arial" w:hAnsi="Garamond" w:cs="Arial"/>
          <w:bCs/>
          <w:sz w:val="24"/>
          <w:szCs w:val="24"/>
        </w:rPr>
        <w:t>, es decir, la transformación de materias primas en productos terminados (industria manufacturera, construcción, etc.)</w:t>
      </w:r>
      <w:r w:rsidRPr="00706E4B">
        <w:rPr>
          <w:rFonts w:ascii="Times New Roman" w:eastAsia="Arial" w:hAnsi="Times New Roman"/>
          <w:bCs/>
          <w:sz w:val="24"/>
          <w:szCs w:val="24"/>
        </w:rPr>
        <w:t>​</w:t>
      </w:r>
      <w:r w:rsidRPr="00706E4B">
        <w:rPr>
          <w:rFonts w:ascii="Garamond" w:eastAsia="Arial" w:hAnsi="Garamond" w:cs="Arial"/>
          <w:bCs/>
          <w:sz w:val="24"/>
          <w:szCs w:val="24"/>
        </w:rPr>
        <w:t>. (Tampoco es el caso del objeto contractual, que no implica producción industrial de bienes).</w:t>
      </w:r>
    </w:p>
    <w:p w14:paraId="5520B7C7" w14:textId="77777777" w:rsidR="00586CC9" w:rsidRPr="00706E4B" w:rsidRDefault="00586CC9" w:rsidP="007B6D85">
      <w:pPr>
        <w:pStyle w:val="Prrafodelista"/>
        <w:spacing w:line="240" w:lineRule="auto"/>
        <w:rPr>
          <w:rFonts w:ascii="Garamond" w:eastAsia="Arial" w:hAnsi="Garamond" w:cs="Arial"/>
          <w:bCs/>
          <w:sz w:val="24"/>
          <w:szCs w:val="24"/>
        </w:rPr>
      </w:pPr>
    </w:p>
    <w:p w14:paraId="2135C26B" w14:textId="77777777" w:rsidR="00F97429" w:rsidRPr="00706E4B" w:rsidRDefault="00F97429" w:rsidP="0009556B">
      <w:pPr>
        <w:pStyle w:val="Prrafodelista"/>
        <w:numPr>
          <w:ilvl w:val="0"/>
          <w:numId w:val="5"/>
        </w:numPr>
        <w:spacing w:line="240" w:lineRule="auto"/>
        <w:jc w:val="both"/>
        <w:rPr>
          <w:rFonts w:ascii="Garamond" w:eastAsia="Arial" w:hAnsi="Garamond" w:cs="Arial"/>
          <w:bCs/>
          <w:sz w:val="24"/>
          <w:szCs w:val="24"/>
        </w:rPr>
      </w:pPr>
      <w:r w:rsidRPr="00706E4B">
        <w:rPr>
          <w:rFonts w:ascii="Garamond" w:eastAsia="Arial" w:hAnsi="Garamond" w:cs="Arial"/>
          <w:b/>
          <w:bCs/>
          <w:sz w:val="24"/>
          <w:szCs w:val="24"/>
        </w:rPr>
        <w:t>Sector terciario:</w:t>
      </w:r>
      <w:r w:rsidRPr="00706E4B">
        <w:rPr>
          <w:rFonts w:ascii="Garamond" w:eastAsia="Arial" w:hAnsi="Garamond" w:cs="Arial"/>
          <w:bCs/>
          <w:sz w:val="24"/>
          <w:szCs w:val="24"/>
        </w:rPr>
        <w:t xml:space="preserve"> Engloba los </w:t>
      </w:r>
      <w:r w:rsidRPr="00706E4B">
        <w:rPr>
          <w:rFonts w:ascii="Garamond" w:eastAsia="Arial" w:hAnsi="Garamond" w:cs="Arial"/>
          <w:b/>
          <w:bCs/>
          <w:sz w:val="24"/>
          <w:szCs w:val="24"/>
        </w:rPr>
        <w:t>servicios</w:t>
      </w:r>
      <w:r w:rsidRPr="00706E4B">
        <w:rPr>
          <w:rFonts w:ascii="Garamond" w:eastAsia="Arial" w:hAnsi="Garamond" w:cs="Arial"/>
          <w:bCs/>
          <w:sz w:val="24"/>
          <w:szCs w:val="24"/>
        </w:rPr>
        <w:t>, que generan bienes intangibles como educación, salud, comercio, transporte, turismo, entre otros</w:t>
      </w:r>
      <w:r w:rsidRPr="00706E4B">
        <w:rPr>
          <w:rFonts w:ascii="Garamond" w:eastAsia="Arial" w:hAnsi="Garamond"/>
          <w:bCs/>
          <w:sz w:val="24"/>
          <w:szCs w:val="24"/>
        </w:rPr>
        <w:t xml:space="preserve">. </w:t>
      </w:r>
      <w:r w:rsidRPr="00706E4B">
        <w:rPr>
          <w:rFonts w:ascii="Garamond" w:eastAsia="Arial" w:hAnsi="Garamond" w:cs="Arial"/>
          <w:bCs/>
          <w:sz w:val="24"/>
          <w:szCs w:val="24"/>
        </w:rPr>
        <w:t>Nuestro proyecto se encuentra en este sector, al consistir en servicios de capacitación, asesoría y apoyo a personas (mujeres de la localidad).</w:t>
      </w:r>
    </w:p>
    <w:p w14:paraId="26703E97" w14:textId="77777777" w:rsidR="00F97429" w:rsidRPr="00706E4B" w:rsidRDefault="00F97429" w:rsidP="007B6D85">
      <w:pPr>
        <w:pStyle w:val="Prrafodelista"/>
        <w:spacing w:line="240" w:lineRule="auto"/>
        <w:ind w:left="0"/>
        <w:jc w:val="both"/>
        <w:rPr>
          <w:rFonts w:ascii="Garamond" w:eastAsia="Arial" w:hAnsi="Garamond" w:cs="Arial"/>
          <w:bCs/>
          <w:sz w:val="24"/>
          <w:szCs w:val="24"/>
        </w:rPr>
      </w:pPr>
    </w:p>
    <w:p w14:paraId="3B1DF7C7" w14:textId="749F0EAB" w:rsidR="00F97429" w:rsidRPr="00706E4B" w:rsidRDefault="00F97429" w:rsidP="007B6D85">
      <w:pPr>
        <w:jc w:val="both"/>
        <w:rPr>
          <w:rFonts w:ascii="Garamond" w:eastAsia="Arial" w:hAnsi="Garamond" w:cs="Arial"/>
          <w:bCs/>
          <w:sz w:val="24"/>
          <w:szCs w:val="24"/>
        </w:rPr>
      </w:pPr>
      <w:r w:rsidRPr="00706E4B">
        <w:rPr>
          <w:rFonts w:ascii="Garamond" w:eastAsia="Arial" w:hAnsi="Garamond" w:cs="Arial"/>
          <w:bCs/>
          <w:sz w:val="24"/>
          <w:szCs w:val="24"/>
        </w:rPr>
        <w:t>A continuación, se muestran los sectores que identifican el presente proceso con la actual necesidad de acuerdo, al “Sistema de Clasificación Industrial Internacional Uniforme” -CIIU</w:t>
      </w:r>
      <w:r w:rsidR="00D613AF" w:rsidRPr="00706E4B">
        <w:rPr>
          <w:rFonts w:ascii="Garamond" w:eastAsia="Arial" w:hAnsi="Garamond" w:cs="Arial"/>
          <w:bCs/>
          <w:sz w:val="24"/>
          <w:szCs w:val="24"/>
        </w:rPr>
        <w:t>:</w:t>
      </w:r>
    </w:p>
    <w:p w14:paraId="371BA6E6" w14:textId="77777777" w:rsidR="00EB68BA" w:rsidRPr="00706E4B" w:rsidRDefault="00EB68BA" w:rsidP="00EB68BA">
      <w:pPr>
        <w:pStyle w:val="Descripcin"/>
        <w:keepNext/>
        <w:jc w:val="center"/>
        <w:rPr>
          <w:rFonts w:ascii="Garamond" w:hAnsi="Garamond"/>
          <w:sz w:val="24"/>
          <w:szCs w:val="24"/>
        </w:rPr>
      </w:pPr>
    </w:p>
    <w:p w14:paraId="753A3F07" w14:textId="6C7F7BE4" w:rsidR="00EB68BA" w:rsidRPr="00706E4B" w:rsidRDefault="00EB68BA" w:rsidP="00EB68BA">
      <w:pPr>
        <w:pStyle w:val="Descripcin"/>
        <w:keepNext/>
        <w:jc w:val="center"/>
        <w:rPr>
          <w:rFonts w:ascii="Garamond" w:hAnsi="Garamond"/>
          <w:sz w:val="24"/>
          <w:szCs w:val="24"/>
        </w:rPr>
      </w:pPr>
      <w:r w:rsidRPr="00706E4B">
        <w:rPr>
          <w:rFonts w:ascii="Garamond" w:hAnsi="Garamond"/>
          <w:sz w:val="24"/>
          <w:szCs w:val="24"/>
        </w:rPr>
        <w:t xml:space="preserve">Tabla </w:t>
      </w:r>
      <w:r w:rsidRPr="00706E4B">
        <w:rPr>
          <w:rFonts w:ascii="Garamond" w:hAnsi="Garamond"/>
          <w:sz w:val="24"/>
          <w:szCs w:val="24"/>
        </w:rPr>
        <w:fldChar w:fldCharType="begin"/>
      </w:r>
      <w:r w:rsidRPr="00706E4B">
        <w:rPr>
          <w:rFonts w:ascii="Garamond" w:hAnsi="Garamond"/>
          <w:sz w:val="24"/>
          <w:szCs w:val="24"/>
        </w:rPr>
        <w:instrText xml:space="preserve"> SEQ Tabla \* ARABIC </w:instrText>
      </w:r>
      <w:r w:rsidRPr="00706E4B">
        <w:rPr>
          <w:rFonts w:ascii="Garamond" w:hAnsi="Garamond"/>
          <w:sz w:val="24"/>
          <w:szCs w:val="24"/>
        </w:rPr>
        <w:fldChar w:fldCharType="separate"/>
      </w:r>
      <w:r w:rsidR="008268B1" w:rsidRPr="00706E4B">
        <w:rPr>
          <w:rFonts w:ascii="Garamond" w:hAnsi="Garamond"/>
          <w:noProof/>
          <w:sz w:val="24"/>
          <w:szCs w:val="24"/>
        </w:rPr>
        <w:t>1</w:t>
      </w:r>
      <w:r w:rsidRPr="00706E4B">
        <w:rPr>
          <w:rFonts w:ascii="Garamond" w:hAnsi="Garamond"/>
          <w:sz w:val="24"/>
          <w:szCs w:val="24"/>
        </w:rPr>
        <w:fldChar w:fldCharType="end"/>
      </w:r>
      <w:r w:rsidRPr="00706E4B">
        <w:rPr>
          <w:rFonts w:ascii="Garamond" w:hAnsi="Garamond"/>
          <w:sz w:val="24"/>
          <w:szCs w:val="24"/>
        </w:rPr>
        <w:t>. Códigos CIIU</w:t>
      </w:r>
    </w:p>
    <w:tbl>
      <w:tblPr>
        <w:tblW w:w="9362"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2085"/>
        <w:gridCol w:w="7277"/>
      </w:tblGrid>
      <w:tr w:rsidR="00EB68BA" w:rsidRPr="00706E4B" w14:paraId="22605140" w14:textId="77777777" w:rsidTr="00993EBD">
        <w:trPr>
          <w:trHeight w:val="332"/>
        </w:trPr>
        <w:tc>
          <w:tcPr>
            <w:tcW w:w="2085" w:type="dxa"/>
            <w:tcBorders>
              <w:top w:val="single" w:sz="6" w:space="0" w:color="auto"/>
              <w:left w:val="single" w:sz="6" w:space="0" w:color="auto"/>
              <w:bottom w:val="single" w:sz="6" w:space="0" w:color="auto"/>
              <w:right w:val="single" w:sz="6" w:space="0" w:color="auto"/>
            </w:tcBorders>
            <w:shd w:val="clear" w:color="auto" w:fill="F2F2F2" w:themeFill="background1" w:themeFillShade="F2"/>
            <w:tcMar>
              <w:left w:w="105" w:type="dxa"/>
              <w:right w:w="105" w:type="dxa"/>
            </w:tcMar>
          </w:tcPr>
          <w:p w14:paraId="5690EB2C" w14:textId="77777777" w:rsidR="00EB68BA" w:rsidRPr="00706E4B" w:rsidRDefault="00EB68BA" w:rsidP="00993EBD">
            <w:pPr>
              <w:jc w:val="both"/>
              <w:rPr>
                <w:rFonts w:ascii="Garamond" w:hAnsi="Garamond" w:cs="Arial"/>
                <w:b/>
                <w:bCs/>
                <w:sz w:val="24"/>
                <w:szCs w:val="24"/>
              </w:rPr>
            </w:pPr>
            <w:r w:rsidRPr="00706E4B">
              <w:rPr>
                <w:rFonts w:ascii="Garamond" w:hAnsi="Garamond" w:cs="Arial"/>
                <w:b/>
                <w:bCs/>
                <w:sz w:val="24"/>
                <w:szCs w:val="24"/>
              </w:rPr>
              <w:t>CÓDIGO</w:t>
            </w:r>
          </w:p>
        </w:tc>
        <w:tc>
          <w:tcPr>
            <w:tcW w:w="727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Mar>
              <w:left w:w="105" w:type="dxa"/>
              <w:right w:w="105" w:type="dxa"/>
            </w:tcMar>
          </w:tcPr>
          <w:p w14:paraId="109AEC1A" w14:textId="77777777" w:rsidR="00EB68BA" w:rsidRPr="00706E4B" w:rsidRDefault="00EB68BA" w:rsidP="00993EBD">
            <w:pPr>
              <w:jc w:val="both"/>
              <w:rPr>
                <w:rFonts w:ascii="Garamond" w:hAnsi="Garamond" w:cs="Arial"/>
                <w:b/>
                <w:bCs/>
                <w:sz w:val="24"/>
                <w:szCs w:val="24"/>
              </w:rPr>
            </w:pPr>
            <w:r w:rsidRPr="00706E4B">
              <w:rPr>
                <w:rFonts w:ascii="Garamond" w:hAnsi="Garamond" w:cs="Arial"/>
                <w:b/>
                <w:bCs/>
                <w:sz w:val="24"/>
                <w:szCs w:val="24"/>
              </w:rPr>
              <w:t>DESCRIPCIÓN</w:t>
            </w:r>
          </w:p>
        </w:tc>
      </w:tr>
      <w:tr w:rsidR="00EB68BA" w:rsidRPr="00706E4B" w14:paraId="6BDE4BB9" w14:textId="77777777" w:rsidTr="00993EBD">
        <w:trPr>
          <w:trHeight w:val="151"/>
        </w:trPr>
        <w:tc>
          <w:tcPr>
            <w:tcW w:w="2085" w:type="dxa"/>
            <w:tcBorders>
              <w:top w:val="single" w:sz="6" w:space="0" w:color="auto"/>
              <w:left w:val="single" w:sz="6" w:space="0" w:color="auto"/>
              <w:bottom w:val="single" w:sz="6" w:space="0" w:color="auto"/>
              <w:right w:val="single" w:sz="6" w:space="0" w:color="auto"/>
            </w:tcBorders>
            <w:tcMar>
              <w:left w:w="105" w:type="dxa"/>
              <w:right w:w="105" w:type="dxa"/>
            </w:tcMar>
          </w:tcPr>
          <w:p w14:paraId="61DB5E4A" w14:textId="77777777" w:rsidR="00EB68BA" w:rsidRPr="00706E4B" w:rsidRDefault="00EB68BA" w:rsidP="00993EBD">
            <w:pPr>
              <w:jc w:val="center"/>
              <w:rPr>
                <w:rFonts w:ascii="Garamond" w:hAnsi="Garamond" w:cs="Arial"/>
                <w:sz w:val="24"/>
                <w:szCs w:val="24"/>
              </w:rPr>
            </w:pPr>
            <w:r w:rsidRPr="00706E4B">
              <w:rPr>
                <w:rFonts w:ascii="Garamond" w:hAnsi="Garamond"/>
                <w:sz w:val="24"/>
                <w:szCs w:val="24"/>
              </w:rPr>
              <w:t>8551</w:t>
            </w:r>
          </w:p>
        </w:tc>
        <w:tc>
          <w:tcPr>
            <w:tcW w:w="7277" w:type="dxa"/>
            <w:tcBorders>
              <w:top w:val="single" w:sz="6" w:space="0" w:color="auto"/>
              <w:left w:val="single" w:sz="6" w:space="0" w:color="auto"/>
              <w:bottom w:val="single" w:sz="6" w:space="0" w:color="auto"/>
              <w:right w:val="single" w:sz="6" w:space="0" w:color="auto"/>
            </w:tcBorders>
            <w:tcMar>
              <w:left w:w="105" w:type="dxa"/>
              <w:right w:w="105" w:type="dxa"/>
            </w:tcMar>
          </w:tcPr>
          <w:p w14:paraId="37BD1513" w14:textId="77777777" w:rsidR="00EB68BA" w:rsidRPr="00706E4B" w:rsidRDefault="00EB68BA" w:rsidP="00993EBD">
            <w:pPr>
              <w:jc w:val="both"/>
              <w:rPr>
                <w:rFonts w:ascii="Garamond" w:hAnsi="Garamond" w:cs="Arial"/>
                <w:sz w:val="24"/>
                <w:szCs w:val="24"/>
              </w:rPr>
            </w:pPr>
            <w:r w:rsidRPr="00706E4B">
              <w:rPr>
                <w:rFonts w:ascii="Garamond" w:hAnsi="Garamond"/>
                <w:sz w:val="24"/>
                <w:szCs w:val="24"/>
              </w:rPr>
              <w:t>Formación para el trabajo</w:t>
            </w:r>
          </w:p>
        </w:tc>
      </w:tr>
      <w:tr w:rsidR="00EB68BA" w:rsidRPr="00706E4B" w14:paraId="573E1CA4" w14:textId="77777777" w:rsidTr="00993EBD">
        <w:trPr>
          <w:trHeight w:val="151"/>
        </w:trPr>
        <w:tc>
          <w:tcPr>
            <w:tcW w:w="2085" w:type="dxa"/>
            <w:tcBorders>
              <w:top w:val="single" w:sz="6" w:space="0" w:color="auto"/>
              <w:left w:val="single" w:sz="6" w:space="0" w:color="auto"/>
              <w:bottom w:val="single" w:sz="6" w:space="0" w:color="auto"/>
              <w:right w:val="single" w:sz="6" w:space="0" w:color="auto"/>
            </w:tcBorders>
            <w:tcMar>
              <w:left w:w="105" w:type="dxa"/>
              <w:right w:w="105" w:type="dxa"/>
            </w:tcMar>
          </w:tcPr>
          <w:p w14:paraId="74548438" w14:textId="77777777" w:rsidR="00EB68BA" w:rsidRPr="00706E4B" w:rsidRDefault="00EB68BA" w:rsidP="00993EBD">
            <w:pPr>
              <w:jc w:val="center"/>
              <w:rPr>
                <w:rFonts w:ascii="Garamond" w:hAnsi="Garamond" w:cs="Arial"/>
                <w:sz w:val="24"/>
                <w:szCs w:val="24"/>
              </w:rPr>
            </w:pPr>
            <w:r w:rsidRPr="00706E4B">
              <w:rPr>
                <w:rFonts w:ascii="Garamond" w:hAnsi="Garamond"/>
                <w:sz w:val="24"/>
                <w:szCs w:val="24"/>
              </w:rPr>
              <w:t>8559</w:t>
            </w:r>
          </w:p>
        </w:tc>
        <w:tc>
          <w:tcPr>
            <w:tcW w:w="7277" w:type="dxa"/>
            <w:tcBorders>
              <w:top w:val="single" w:sz="6" w:space="0" w:color="auto"/>
              <w:left w:val="single" w:sz="6" w:space="0" w:color="auto"/>
              <w:bottom w:val="single" w:sz="6" w:space="0" w:color="auto"/>
              <w:right w:val="single" w:sz="6" w:space="0" w:color="auto"/>
            </w:tcBorders>
            <w:tcMar>
              <w:left w:w="105" w:type="dxa"/>
              <w:right w:w="105" w:type="dxa"/>
            </w:tcMar>
          </w:tcPr>
          <w:p w14:paraId="69615D1D" w14:textId="77777777" w:rsidR="00EB68BA" w:rsidRPr="00706E4B" w:rsidRDefault="00EB68BA" w:rsidP="00993EBD">
            <w:pPr>
              <w:jc w:val="both"/>
              <w:rPr>
                <w:rFonts w:ascii="Garamond" w:hAnsi="Garamond"/>
                <w:sz w:val="24"/>
                <w:szCs w:val="24"/>
              </w:rPr>
            </w:pPr>
            <w:r w:rsidRPr="00706E4B">
              <w:rPr>
                <w:rFonts w:ascii="Garamond" w:hAnsi="Garamond"/>
                <w:sz w:val="24"/>
                <w:szCs w:val="24"/>
              </w:rPr>
              <w:t>Otros tipos de educación n.c.p.</w:t>
            </w:r>
          </w:p>
        </w:tc>
      </w:tr>
      <w:tr w:rsidR="00F912DC" w:rsidRPr="00706E4B" w14:paraId="62D65EF2" w14:textId="77777777" w:rsidTr="00993EBD">
        <w:trPr>
          <w:trHeight w:val="151"/>
        </w:trPr>
        <w:tc>
          <w:tcPr>
            <w:tcW w:w="2085" w:type="dxa"/>
            <w:tcBorders>
              <w:top w:val="single" w:sz="6" w:space="0" w:color="auto"/>
              <w:left w:val="single" w:sz="6" w:space="0" w:color="auto"/>
              <w:bottom w:val="single" w:sz="6" w:space="0" w:color="auto"/>
              <w:right w:val="single" w:sz="6" w:space="0" w:color="auto"/>
            </w:tcBorders>
            <w:tcMar>
              <w:left w:w="105" w:type="dxa"/>
              <w:right w:w="105" w:type="dxa"/>
            </w:tcMar>
          </w:tcPr>
          <w:p w14:paraId="62575599" w14:textId="49C55558" w:rsidR="00F912DC" w:rsidRPr="00706E4B" w:rsidRDefault="00F912DC" w:rsidP="00993EBD">
            <w:pPr>
              <w:jc w:val="center"/>
              <w:rPr>
                <w:rFonts w:ascii="Garamond" w:hAnsi="Garamond"/>
                <w:sz w:val="24"/>
                <w:szCs w:val="24"/>
              </w:rPr>
            </w:pPr>
            <w:r w:rsidRPr="00706E4B">
              <w:rPr>
                <w:rFonts w:ascii="Garamond" w:hAnsi="Garamond"/>
                <w:sz w:val="24"/>
                <w:szCs w:val="24"/>
              </w:rPr>
              <w:t>5621</w:t>
            </w:r>
          </w:p>
        </w:tc>
        <w:tc>
          <w:tcPr>
            <w:tcW w:w="7277" w:type="dxa"/>
            <w:tcBorders>
              <w:top w:val="single" w:sz="6" w:space="0" w:color="auto"/>
              <w:left w:val="single" w:sz="6" w:space="0" w:color="auto"/>
              <w:bottom w:val="single" w:sz="6" w:space="0" w:color="auto"/>
              <w:right w:val="single" w:sz="6" w:space="0" w:color="auto"/>
            </w:tcBorders>
            <w:tcMar>
              <w:left w:w="105" w:type="dxa"/>
              <w:right w:w="105" w:type="dxa"/>
            </w:tcMar>
          </w:tcPr>
          <w:p w14:paraId="4B7BAE31" w14:textId="73C2B279" w:rsidR="00F912DC" w:rsidRPr="00706E4B" w:rsidRDefault="00F912DC" w:rsidP="00993EBD">
            <w:pPr>
              <w:jc w:val="both"/>
              <w:rPr>
                <w:rFonts w:ascii="Garamond" w:hAnsi="Garamond"/>
                <w:sz w:val="24"/>
                <w:szCs w:val="24"/>
              </w:rPr>
            </w:pPr>
            <w:r w:rsidRPr="00706E4B">
              <w:rPr>
                <w:rFonts w:ascii="Garamond" w:hAnsi="Garamond"/>
                <w:sz w:val="24"/>
                <w:szCs w:val="24"/>
              </w:rPr>
              <w:t>Catering para eventos</w:t>
            </w:r>
          </w:p>
        </w:tc>
      </w:tr>
      <w:tr w:rsidR="00EB68BA" w:rsidRPr="00706E4B" w14:paraId="5F413E80" w14:textId="77777777" w:rsidTr="00993EBD">
        <w:trPr>
          <w:trHeight w:val="151"/>
        </w:trPr>
        <w:tc>
          <w:tcPr>
            <w:tcW w:w="2085" w:type="dxa"/>
            <w:tcBorders>
              <w:top w:val="single" w:sz="6" w:space="0" w:color="auto"/>
              <w:left w:val="single" w:sz="6" w:space="0" w:color="auto"/>
              <w:bottom w:val="single" w:sz="6" w:space="0" w:color="auto"/>
              <w:right w:val="single" w:sz="6" w:space="0" w:color="auto"/>
            </w:tcBorders>
            <w:tcMar>
              <w:left w:w="105" w:type="dxa"/>
              <w:right w:w="105" w:type="dxa"/>
            </w:tcMar>
          </w:tcPr>
          <w:p w14:paraId="04DDAA21" w14:textId="77777777" w:rsidR="00EB68BA" w:rsidRPr="00706E4B" w:rsidRDefault="00EB68BA" w:rsidP="00993EBD">
            <w:pPr>
              <w:jc w:val="center"/>
              <w:rPr>
                <w:rFonts w:ascii="Garamond" w:hAnsi="Garamond"/>
                <w:sz w:val="24"/>
                <w:szCs w:val="24"/>
              </w:rPr>
            </w:pPr>
            <w:r w:rsidRPr="00706E4B">
              <w:rPr>
                <w:rFonts w:ascii="Garamond" w:hAnsi="Garamond"/>
                <w:sz w:val="24"/>
                <w:szCs w:val="24"/>
              </w:rPr>
              <w:t>8523</w:t>
            </w:r>
          </w:p>
        </w:tc>
        <w:tc>
          <w:tcPr>
            <w:tcW w:w="7277" w:type="dxa"/>
            <w:tcBorders>
              <w:top w:val="single" w:sz="6" w:space="0" w:color="auto"/>
              <w:left w:val="single" w:sz="6" w:space="0" w:color="auto"/>
              <w:bottom w:val="single" w:sz="6" w:space="0" w:color="auto"/>
              <w:right w:val="single" w:sz="6" w:space="0" w:color="auto"/>
            </w:tcBorders>
            <w:tcMar>
              <w:left w:w="105" w:type="dxa"/>
              <w:right w:w="105" w:type="dxa"/>
            </w:tcMar>
          </w:tcPr>
          <w:p w14:paraId="46D472B4" w14:textId="77777777" w:rsidR="00EB68BA" w:rsidRPr="00706E4B" w:rsidRDefault="00EB68BA" w:rsidP="00993EBD">
            <w:pPr>
              <w:jc w:val="both"/>
              <w:rPr>
                <w:rFonts w:ascii="Garamond" w:hAnsi="Garamond"/>
                <w:sz w:val="24"/>
                <w:szCs w:val="24"/>
              </w:rPr>
            </w:pPr>
            <w:r w:rsidRPr="00706E4B">
              <w:rPr>
                <w:rFonts w:ascii="Garamond" w:hAnsi="Garamond"/>
                <w:sz w:val="24"/>
                <w:szCs w:val="24"/>
              </w:rPr>
              <w:t>Educación media técnica</w:t>
            </w:r>
          </w:p>
        </w:tc>
      </w:tr>
    </w:tbl>
    <w:p w14:paraId="5C063424" w14:textId="19ED75AD" w:rsidR="00EB68BA" w:rsidRPr="00706E4B" w:rsidRDefault="00EB68BA" w:rsidP="00EB68BA">
      <w:pPr>
        <w:pStyle w:val="Descripcin"/>
        <w:jc w:val="center"/>
        <w:rPr>
          <w:rFonts w:ascii="Garamond" w:hAnsi="Garamond" w:cs="Segoe UI"/>
          <w:sz w:val="24"/>
          <w:szCs w:val="24"/>
          <w:highlight w:val="yellow"/>
          <w:lang w:eastAsia="es-CO"/>
        </w:rPr>
      </w:pPr>
      <w:r w:rsidRPr="00706E4B">
        <w:rPr>
          <w:rFonts w:ascii="Garamond" w:hAnsi="Garamond"/>
          <w:sz w:val="24"/>
          <w:szCs w:val="24"/>
        </w:rPr>
        <w:t xml:space="preserve">Fuente </w:t>
      </w:r>
      <w:r w:rsidRPr="00706E4B">
        <w:rPr>
          <w:rFonts w:ascii="Garamond" w:hAnsi="Garamond"/>
          <w:sz w:val="24"/>
          <w:szCs w:val="24"/>
        </w:rPr>
        <w:fldChar w:fldCharType="begin"/>
      </w:r>
      <w:r w:rsidRPr="00706E4B">
        <w:rPr>
          <w:rFonts w:ascii="Garamond" w:hAnsi="Garamond"/>
          <w:sz w:val="24"/>
          <w:szCs w:val="24"/>
        </w:rPr>
        <w:instrText xml:space="preserve"> SEQ Fuente \* ARABIC </w:instrText>
      </w:r>
      <w:r w:rsidRPr="00706E4B">
        <w:rPr>
          <w:rFonts w:ascii="Garamond" w:hAnsi="Garamond"/>
          <w:sz w:val="24"/>
          <w:szCs w:val="24"/>
        </w:rPr>
        <w:fldChar w:fldCharType="separate"/>
      </w:r>
      <w:r w:rsidR="008268B1" w:rsidRPr="00706E4B">
        <w:rPr>
          <w:rFonts w:ascii="Garamond" w:hAnsi="Garamond"/>
          <w:noProof/>
          <w:sz w:val="24"/>
          <w:szCs w:val="24"/>
        </w:rPr>
        <w:t>1</w:t>
      </w:r>
      <w:r w:rsidRPr="00706E4B">
        <w:rPr>
          <w:rFonts w:ascii="Garamond" w:hAnsi="Garamond"/>
          <w:sz w:val="24"/>
          <w:szCs w:val="24"/>
        </w:rPr>
        <w:fldChar w:fldCharType="end"/>
      </w:r>
      <w:r w:rsidRPr="00706E4B">
        <w:rPr>
          <w:rFonts w:ascii="Garamond" w:hAnsi="Garamond"/>
          <w:sz w:val="24"/>
          <w:szCs w:val="24"/>
        </w:rPr>
        <w:t>. Elaboración propia FDLCB</w:t>
      </w:r>
    </w:p>
    <w:p w14:paraId="360E8D5C" w14:textId="77777777" w:rsidR="003446D7" w:rsidRPr="00706E4B" w:rsidRDefault="003446D7" w:rsidP="003446D7">
      <w:pPr>
        <w:pStyle w:val="Prrafodelista"/>
        <w:spacing w:line="276" w:lineRule="auto"/>
        <w:ind w:right="192"/>
        <w:jc w:val="both"/>
        <w:rPr>
          <w:rFonts w:ascii="Garamond" w:eastAsia="Arial" w:hAnsi="Garamond" w:cs="Arial"/>
          <w:bCs/>
          <w:sz w:val="24"/>
          <w:szCs w:val="24"/>
        </w:rPr>
      </w:pPr>
    </w:p>
    <w:p w14:paraId="184762B6" w14:textId="5775BC8E" w:rsidR="000670A2" w:rsidRPr="00706E4B" w:rsidRDefault="000670A2" w:rsidP="0009556B">
      <w:pPr>
        <w:pStyle w:val="Prrafodelista"/>
        <w:numPr>
          <w:ilvl w:val="1"/>
          <w:numId w:val="2"/>
        </w:numPr>
        <w:spacing w:line="276" w:lineRule="auto"/>
        <w:jc w:val="both"/>
        <w:textAlignment w:val="baseline"/>
        <w:rPr>
          <w:rFonts w:ascii="Garamond" w:hAnsi="Garamond" w:cs="Segoe UI"/>
          <w:sz w:val="24"/>
          <w:szCs w:val="24"/>
          <w:lang w:eastAsia="es-CO"/>
        </w:rPr>
      </w:pPr>
      <w:r w:rsidRPr="00706E4B">
        <w:rPr>
          <w:rFonts w:ascii="Garamond" w:hAnsi="Garamond" w:cs="Segoe UI"/>
          <w:b/>
          <w:bCs/>
          <w:sz w:val="24"/>
          <w:szCs w:val="24"/>
          <w:lang w:eastAsia="es-CO"/>
        </w:rPr>
        <w:t>CÓDIGOS BIENES Y SERVICIOS DEL PROYECTO </w:t>
      </w:r>
      <w:r w:rsidRPr="00706E4B">
        <w:rPr>
          <w:rFonts w:ascii="Garamond" w:hAnsi="Garamond" w:cs="Segoe UI"/>
          <w:sz w:val="24"/>
          <w:szCs w:val="24"/>
          <w:lang w:eastAsia="es-CO"/>
        </w:rPr>
        <w:t> </w:t>
      </w:r>
    </w:p>
    <w:p w14:paraId="557F745D" w14:textId="3BF40624" w:rsidR="00521F94" w:rsidRPr="00706E4B" w:rsidRDefault="00521F94" w:rsidP="00FE0D26">
      <w:pPr>
        <w:jc w:val="both"/>
        <w:rPr>
          <w:rFonts w:ascii="Garamond" w:hAnsi="Garamond" w:cs="Segoe UI"/>
          <w:sz w:val="24"/>
          <w:szCs w:val="24"/>
          <w:lang w:eastAsia="es-CO"/>
        </w:rPr>
      </w:pPr>
      <w:r w:rsidRPr="00706E4B">
        <w:rPr>
          <w:rFonts w:ascii="Garamond" w:hAnsi="Garamond" w:cs="Segoe UI"/>
          <w:sz w:val="24"/>
          <w:szCs w:val="24"/>
          <w:lang w:eastAsia="es-CO"/>
        </w:rPr>
        <w:t>En concordancia con</w:t>
      </w:r>
      <w:r w:rsidR="00E97785" w:rsidRPr="00706E4B">
        <w:rPr>
          <w:rFonts w:ascii="Garamond" w:hAnsi="Garamond" w:cs="Segoe UI"/>
          <w:sz w:val="24"/>
          <w:szCs w:val="24"/>
          <w:lang w:eastAsia="es-CO"/>
        </w:rPr>
        <w:t xml:space="preserve"> </w:t>
      </w:r>
      <w:r w:rsidR="009118A4" w:rsidRPr="00706E4B">
        <w:rPr>
          <w:rFonts w:ascii="Garamond" w:hAnsi="Garamond" w:cs="Segoe UI"/>
          <w:sz w:val="24"/>
          <w:szCs w:val="24"/>
          <w:lang w:eastAsia="es-CO"/>
        </w:rPr>
        <w:t>el decreto 142 de</w:t>
      </w:r>
      <w:r w:rsidR="00E97785" w:rsidRPr="00706E4B">
        <w:rPr>
          <w:rFonts w:ascii="Garamond" w:hAnsi="Garamond" w:cs="Segoe UI"/>
          <w:sz w:val="24"/>
          <w:szCs w:val="24"/>
          <w:lang w:eastAsia="es-CO"/>
        </w:rPr>
        <w:t xml:space="preserve"> 2023 p</w:t>
      </w:r>
      <w:r w:rsidRPr="00706E4B">
        <w:rPr>
          <w:rFonts w:ascii="Garamond" w:hAnsi="Garamond" w:cs="Segoe UI"/>
          <w:sz w:val="24"/>
          <w:szCs w:val="24"/>
          <w:lang w:eastAsia="es-CO"/>
        </w:rPr>
        <w:t>or el cual se modifica y adiciona el Decreto número 1082 de 2015, Único Reglamentario del Sector Administrativo de Planeación Nacional para promover el acceso al sistema de Compras Públicas de las Mipymes, las Cooperativas y demás entidades de la economía solidaria, se incorporan criterios sociales y ambientales en los Procesos de Contratación de las Entidades Estatales, se incluye el Título de emprendimiento comunal y se dictan otras disposiciones.</w:t>
      </w:r>
    </w:p>
    <w:p w14:paraId="342F5C01" w14:textId="77777777" w:rsidR="00521F94" w:rsidRPr="00706E4B" w:rsidRDefault="00521F94" w:rsidP="00FE0D26">
      <w:pPr>
        <w:jc w:val="both"/>
        <w:rPr>
          <w:rFonts w:ascii="Garamond" w:hAnsi="Garamond" w:cs="Segoe UI"/>
          <w:sz w:val="24"/>
          <w:szCs w:val="24"/>
          <w:lang w:eastAsia="es-CO"/>
        </w:rPr>
      </w:pPr>
    </w:p>
    <w:p w14:paraId="27554E97" w14:textId="33EA5F5B" w:rsidR="00591998" w:rsidRPr="00706E4B" w:rsidRDefault="00801F99" w:rsidP="00E50729">
      <w:pPr>
        <w:jc w:val="both"/>
        <w:rPr>
          <w:rFonts w:ascii="Garamond" w:hAnsi="Garamond" w:cs="Segoe UI"/>
          <w:sz w:val="24"/>
          <w:szCs w:val="24"/>
          <w:lang w:eastAsia="es-CO"/>
        </w:rPr>
      </w:pPr>
      <w:r w:rsidRPr="00706E4B">
        <w:rPr>
          <w:rFonts w:ascii="Garamond" w:hAnsi="Garamond" w:cs="Segoe UI"/>
          <w:sz w:val="24"/>
          <w:szCs w:val="24"/>
          <w:lang w:eastAsia="es-CO"/>
        </w:rPr>
        <w:t xml:space="preserve">Para el presente proyecto, los grupos o segmentos involucrados corresponden principalmente a servicios de formación y </w:t>
      </w:r>
      <w:r w:rsidR="00BF7B0D" w:rsidRPr="00706E4B">
        <w:rPr>
          <w:rFonts w:ascii="Garamond" w:hAnsi="Garamond" w:cs="Segoe UI"/>
          <w:sz w:val="24"/>
          <w:szCs w:val="24"/>
          <w:lang w:eastAsia="es-CO"/>
        </w:rPr>
        <w:t>servicios comunitarios y sociales</w:t>
      </w:r>
      <w:r w:rsidRPr="00706E4B">
        <w:rPr>
          <w:rFonts w:ascii="Garamond" w:hAnsi="Garamond" w:cs="Segoe UI"/>
          <w:sz w:val="24"/>
          <w:szCs w:val="24"/>
          <w:lang w:eastAsia="es-CO"/>
        </w:rPr>
        <w:t>,</w:t>
      </w:r>
      <w:r w:rsidR="00BF7B0D" w:rsidRPr="00706E4B">
        <w:rPr>
          <w:rFonts w:ascii="Garamond" w:hAnsi="Garamond" w:cs="Segoe UI"/>
          <w:sz w:val="24"/>
          <w:szCs w:val="24"/>
          <w:lang w:eastAsia="es-CO"/>
        </w:rPr>
        <w:t xml:space="preserve"> </w:t>
      </w:r>
      <w:r w:rsidR="00DC5FB3" w:rsidRPr="00706E4B">
        <w:rPr>
          <w:rFonts w:ascii="Garamond" w:hAnsi="Garamond" w:cs="Segoe UI"/>
          <w:sz w:val="24"/>
          <w:szCs w:val="24"/>
          <w:lang w:eastAsia="es-CO"/>
        </w:rPr>
        <w:t>adicionales servicios</w:t>
      </w:r>
      <w:r w:rsidR="00F566EF" w:rsidRPr="00706E4B">
        <w:rPr>
          <w:rFonts w:ascii="Garamond" w:hAnsi="Garamond" w:cs="Segoe UI"/>
          <w:sz w:val="24"/>
          <w:szCs w:val="24"/>
          <w:lang w:eastAsia="es-CO"/>
        </w:rPr>
        <w:t xml:space="preserve"> de </w:t>
      </w:r>
      <w:r w:rsidR="00DC5FB3" w:rsidRPr="00706E4B">
        <w:rPr>
          <w:rFonts w:ascii="Garamond" w:hAnsi="Garamond" w:cs="Segoe UI"/>
          <w:sz w:val="24"/>
          <w:szCs w:val="24"/>
          <w:lang w:eastAsia="es-CO"/>
        </w:rPr>
        <w:t>catering, tal</w:t>
      </w:r>
      <w:r w:rsidRPr="00706E4B">
        <w:rPr>
          <w:rFonts w:ascii="Garamond" w:hAnsi="Garamond" w:cs="Segoe UI"/>
          <w:sz w:val="24"/>
          <w:szCs w:val="24"/>
          <w:lang w:eastAsia="es-CO"/>
        </w:rPr>
        <w:t xml:space="preserve"> como se detalla en la siguiente tabla:</w:t>
      </w:r>
    </w:p>
    <w:p w14:paraId="0DC0CA5C" w14:textId="77777777" w:rsidR="00866481" w:rsidRPr="00706E4B" w:rsidRDefault="00866481" w:rsidP="00E50729">
      <w:pPr>
        <w:jc w:val="both"/>
        <w:rPr>
          <w:rFonts w:ascii="Garamond" w:hAnsi="Garamond" w:cs="Segoe UI"/>
          <w:sz w:val="24"/>
          <w:szCs w:val="24"/>
          <w:lang w:eastAsia="es-CO"/>
        </w:rPr>
      </w:pPr>
    </w:p>
    <w:p w14:paraId="7AFE2E2E" w14:textId="59F3DBD5" w:rsidR="00F41A66" w:rsidRPr="00706E4B" w:rsidRDefault="00866481" w:rsidP="00866481">
      <w:pPr>
        <w:pStyle w:val="Descripcin"/>
        <w:keepNext/>
        <w:jc w:val="center"/>
        <w:rPr>
          <w:rFonts w:ascii="Garamond" w:hAnsi="Garamond" w:cs="Segoe UI"/>
          <w:sz w:val="24"/>
          <w:szCs w:val="24"/>
          <w:lang w:eastAsia="es-CO"/>
        </w:rPr>
      </w:pPr>
      <w:r w:rsidRPr="00706E4B">
        <w:rPr>
          <w:rFonts w:ascii="Garamond" w:hAnsi="Garamond"/>
          <w:sz w:val="24"/>
          <w:szCs w:val="24"/>
        </w:rPr>
        <w:lastRenderedPageBreak/>
        <w:t>Tabla 2. Códigos UNSPSC</w:t>
      </w:r>
    </w:p>
    <w:tbl>
      <w:tblPr>
        <w:tblStyle w:val="Tablaconcuadrcula"/>
        <w:tblW w:w="0" w:type="auto"/>
        <w:tblLook w:val="04A0" w:firstRow="1" w:lastRow="0" w:firstColumn="1" w:lastColumn="0" w:noHBand="0" w:noVBand="1"/>
      </w:tblPr>
      <w:tblGrid>
        <w:gridCol w:w="2278"/>
        <w:gridCol w:w="2278"/>
        <w:gridCol w:w="2278"/>
        <w:gridCol w:w="2279"/>
      </w:tblGrid>
      <w:tr w:rsidR="00591998" w:rsidRPr="00706E4B" w14:paraId="71F2434A" w14:textId="77777777" w:rsidTr="00591998">
        <w:tc>
          <w:tcPr>
            <w:tcW w:w="2278" w:type="dxa"/>
          </w:tcPr>
          <w:p w14:paraId="7FF0FC0D" w14:textId="0ED7569D" w:rsidR="00591998" w:rsidRPr="00706E4B" w:rsidRDefault="00591998" w:rsidP="00E44C97">
            <w:pPr>
              <w:jc w:val="center"/>
              <w:rPr>
                <w:rFonts w:ascii="Garamond" w:hAnsi="Garamond" w:cs="Segoe UI"/>
                <w:b/>
                <w:bCs/>
                <w:sz w:val="24"/>
                <w:szCs w:val="24"/>
                <w:lang w:eastAsia="es-CO"/>
              </w:rPr>
            </w:pPr>
            <w:r w:rsidRPr="00706E4B">
              <w:rPr>
                <w:rFonts w:ascii="Garamond" w:hAnsi="Garamond" w:cs="Segoe UI"/>
                <w:b/>
                <w:bCs/>
                <w:sz w:val="24"/>
                <w:szCs w:val="24"/>
                <w:lang w:eastAsia="es-CO"/>
              </w:rPr>
              <w:t>CLASIFICACIÓN UN</w:t>
            </w:r>
            <w:r w:rsidR="00E44C97" w:rsidRPr="00706E4B">
              <w:rPr>
                <w:rFonts w:ascii="Garamond" w:hAnsi="Garamond" w:cs="Segoe UI"/>
                <w:b/>
                <w:bCs/>
                <w:sz w:val="24"/>
                <w:szCs w:val="24"/>
                <w:lang w:eastAsia="es-CO"/>
              </w:rPr>
              <w:t>SPSC</w:t>
            </w:r>
          </w:p>
        </w:tc>
        <w:tc>
          <w:tcPr>
            <w:tcW w:w="2278" w:type="dxa"/>
          </w:tcPr>
          <w:p w14:paraId="5B0288F7" w14:textId="70831998" w:rsidR="00591998" w:rsidRPr="00706E4B" w:rsidRDefault="00E44C97" w:rsidP="00E44C97">
            <w:pPr>
              <w:jc w:val="center"/>
              <w:rPr>
                <w:rFonts w:ascii="Garamond" w:hAnsi="Garamond" w:cs="Segoe UI"/>
                <w:b/>
                <w:bCs/>
                <w:sz w:val="24"/>
                <w:szCs w:val="24"/>
                <w:lang w:eastAsia="es-CO"/>
              </w:rPr>
            </w:pPr>
            <w:r w:rsidRPr="00706E4B">
              <w:rPr>
                <w:rFonts w:ascii="Garamond" w:hAnsi="Garamond" w:cs="Segoe UI"/>
                <w:b/>
                <w:bCs/>
                <w:sz w:val="24"/>
                <w:szCs w:val="24"/>
                <w:lang w:eastAsia="es-CO"/>
              </w:rPr>
              <w:t>SEGMENTO</w:t>
            </w:r>
          </w:p>
        </w:tc>
        <w:tc>
          <w:tcPr>
            <w:tcW w:w="2278" w:type="dxa"/>
          </w:tcPr>
          <w:p w14:paraId="0B4D4A85" w14:textId="734DE126" w:rsidR="00591998" w:rsidRPr="00706E4B" w:rsidRDefault="00E44C97" w:rsidP="00E44C97">
            <w:pPr>
              <w:jc w:val="center"/>
              <w:rPr>
                <w:rFonts w:ascii="Garamond" w:hAnsi="Garamond" w:cs="Segoe UI"/>
                <w:b/>
                <w:bCs/>
                <w:sz w:val="24"/>
                <w:szCs w:val="24"/>
                <w:lang w:eastAsia="es-CO"/>
              </w:rPr>
            </w:pPr>
            <w:r w:rsidRPr="00706E4B">
              <w:rPr>
                <w:rFonts w:ascii="Garamond" w:hAnsi="Garamond" w:cs="Segoe UI"/>
                <w:b/>
                <w:bCs/>
                <w:sz w:val="24"/>
                <w:szCs w:val="24"/>
                <w:lang w:eastAsia="es-CO"/>
              </w:rPr>
              <w:t>FAMILIA</w:t>
            </w:r>
          </w:p>
        </w:tc>
        <w:tc>
          <w:tcPr>
            <w:tcW w:w="2279" w:type="dxa"/>
          </w:tcPr>
          <w:p w14:paraId="2F307B2D" w14:textId="75EFEBA5" w:rsidR="00591998" w:rsidRPr="00706E4B" w:rsidRDefault="00E44C97" w:rsidP="00E44C97">
            <w:pPr>
              <w:jc w:val="center"/>
              <w:rPr>
                <w:rFonts w:ascii="Garamond" w:hAnsi="Garamond" w:cs="Segoe UI"/>
                <w:b/>
                <w:bCs/>
                <w:sz w:val="24"/>
                <w:szCs w:val="24"/>
                <w:lang w:eastAsia="es-CO"/>
              </w:rPr>
            </w:pPr>
            <w:r w:rsidRPr="00706E4B">
              <w:rPr>
                <w:rFonts w:ascii="Garamond" w:hAnsi="Garamond" w:cs="Segoe UI"/>
                <w:b/>
                <w:bCs/>
                <w:sz w:val="24"/>
                <w:szCs w:val="24"/>
                <w:lang w:eastAsia="es-CO"/>
              </w:rPr>
              <w:t>CLASE</w:t>
            </w:r>
          </w:p>
        </w:tc>
      </w:tr>
      <w:tr w:rsidR="00591998" w:rsidRPr="00706E4B" w14:paraId="19A88F9B" w14:textId="77777777" w:rsidTr="00591998">
        <w:tc>
          <w:tcPr>
            <w:tcW w:w="2278" w:type="dxa"/>
          </w:tcPr>
          <w:p w14:paraId="760C54D5" w14:textId="7DF75967" w:rsidR="00591998" w:rsidRPr="00706E4B" w:rsidRDefault="008B2AB6" w:rsidP="008B2AB6">
            <w:pPr>
              <w:jc w:val="center"/>
              <w:rPr>
                <w:rFonts w:ascii="Garamond" w:eastAsia="Arial" w:hAnsi="Garamond" w:cs="Arial"/>
                <w:sz w:val="24"/>
                <w:szCs w:val="24"/>
              </w:rPr>
            </w:pPr>
            <w:r w:rsidRPr="00706E4B">
              <w:rPr>
                <w:rFonts w:ascii="Garamond" w:eastAsia="Arial" w:hAnsi="Garamond" w:cs="Arial"/>
                <w:sz w:val="24"/>
                <w:szCs w:val="24"/>
              </w:rPr>
              <w:t>86101700</w:t>
            </w:r>
          </w:p>
        </w:tc>
        <w:tc>
          <w:tcPr>
            <w:tcW w:w="2278" w:type="dxa"/>
          </w:tcPr>
          <w:p w14:paraId="521F5F65" w14:textId="7A64E68A" w:rsidR="00591998" w:rsidRPr="00706E4B" w:rsidRDefault="00EB2AF1" w:rsidP="008B2AB6">
            <w:pPr>
              <w:jc w:val="center"/>
              <w:rPr>
                <w:rFonts w:ascii="Garamond" w:hAnsi="Garamond" w:cs="Segoe UI"/>
                <w:sz w:val="24"/>
                <w:szCs w:val="24"/>
                <w:lang w:eastAsia="es-CO"/>
              </w:rPr>
            </w:pPr>
            <w:r w:rsidRPr="00706E4B">
              <w:rPr>
                <w:rFonts w:ascii="Garamond" w:hAnsi="Garamond"/>
                <w:sz w:val="24"/>
                <w:szCs w:val="24"/>
              </w:rPr>
              <w:t>Servicios educativos y de formación</w:t>
            </w:r>
          </w:p>
        </w:tc>
        <w:tc>
          <w:tcPr>
            <w:tcW w:w="2278" w:type="dxa"/>
          </w:tcPr>
          <w:p w14:paraId="189B94D0" w14:textId="20593EDB" w:rsidR="00591998" w:rsidRPr="00706E4B" w:rsidRDefault="00EB2AF1" w:rsidP="008B2AB6">
            <w:pPr>
              <w:jc w:val="center"/>
              <w:rPr>
                <w:rFonts w:ascii="Garamond" w:hAnsi="Garamond" w:cs="Segoe UI"/>
                <w:sz w:val="24"/>
                <w:szCs w:val="24"/>
                <w:lang w:eastAsia="es-CO"/>
              </w:rPr>
            </w:pPr>
            <w:r w:rsidRPr="00706E4B">
              <w:rPr>
                <w:rFonts w:ascii="Garamond" w:eastAsia="Arial MT" w:hAnsi="Garamond" w:cs="Arial MT"/>
                <w:sz w:val="24"/>
                <w:szCs w:val="24"/>
                <w:lang w:val="es-ES" w:eastAsia="en-US"/>
              </w:rPr>
              <w:t>Formación profesional</w:t>
            </w:r>
          </w:p>
        </w:tc>
        <w:tc>
          <w:tcPr>
            <w:tcW w:w="2279" w:type="dxa"/>
          </w:tcPr>
          <w:p w14:paraId="23A8B15A" w14:textId="67C1EFE3" w:rsidR="00591998" w:rsidRPr="00706E4B" w:rsidRDefault="00EB2AF1" w:rsidP="008B2AB6">
            <w:pPr>
              <w:jc w:val="center"/>
              <w:rPr>
                <w:rFonts w:ascii="Garamond" w:hAnsi="Garamond" w:cs="Segoe UI"/>
                <w:sz w:val="24"/>
                <w:szCs w:val="24"/>
                <w:lang w:eastAsia="es-CO"/>
              </w:rPr>
            </w:pPr>
            <w:r w:rsidRPr="00706E4B">
              <w:rPr>
                <w:rFonts w:ascii="Garamond" w:hAnsi="Garamond"/>
                <w:sz w:val="24"/>
                <w:szCs w:val="24"/>
                <w:lang w:eastAsia="es-CO"/>
              </w:rPr>
              <w:t>Servicios de capacitación vocacional – no científica</w:t>
            </w:r>
          </w:p>
        </w:tc>
      </w:tr>
      <w:tr w:rsidR="00591998" w:rsidRPr="00706E4B" w14:paraId="1AB6DB9E" w14:textId="77777777" w:rsidTr="00591998">
        <w:tc>
          <w:tcPr>
            <w:tcW w:w="2278" w:type="dxa"/>
          </w:tcPr>
          <w:p w14:paraId="7299F2D7" w14:textId="3C2C04C7" w:rsidR="00591998" w:rsidRPr="00706E4B" w:rsidRDefault="00EB2AF1" w:rsidP="008B2AB6">
            <w:pPr>
              <w:jc w:val="center"/>
              <w:rPr>
                <w:rFonts w:ascii="Garamond" w:eastAsia="Arial" w:hAnsi="Garamond" w:cs="Arial"/>
                <w:sz w:val="24"/>
                <w:szCs w:val="24"/>
              </w:rPr>
            </w:pPr>
            <w:r w:rsidRPr="00706E4B">
              <w:rPr>
                <w:rFonts w:ascii="Garamond" w:eastAsia="Arial" w:hAnsi="Garamond" w:cs="Arial"/>
                <w:sz w:val="24"/>
                <w:szCs w:val="24"/>
              </w:rPr>
              <w:t>86141500</w:t>
            </w:r>
          </w:p>
        </w:tc>
        <w:tc>
          <w:tcPr>
            <w:tcW w:w="2278" w:type="dxa"/>
          </w:tcPr>
          <w:p w14:paraId="17061187" w14:textId="6E8A77BC" w:rsidR="00591998" w:rsidRPr="00706E4B" w:rsidRDefault="00EB2AF1" w:rsidP="008B2AB6">
            <w:pPr>
              <w:jc w:val="center"/>
              <w:rPr>
                <w:rFonts w:ascii="Garamond" w:hAnsi="Garamond" w:cs="Segoe UI"/>
                <w:sz w:val="24"/>
                <w:szCs w:val="24"/>
                <w:lang w:eastAsia="es-CO"/>
              </w:rPr>
            </w:pPr>
            <w:r w:rsidRPr="00706E4B">
              <w:rPr>
                <w:rFonts w:ascii="Garamond" w:hAnsi="Garamond"/>
                <w:sz w:val="24"/>
                <w:szCs w:val="24"/>
              </w:rPr>
              <w:t>Servicios educativos y de formación</w:t>
            </w:r>
          </w:p>
        </w:tc>
        <w:tc>
          <w:tcPr>
            <w:tcW w:w="2278" w:type="dxa"/>
          </w:tcPr>
          <w:p w14:paraId="5EDB1F6A" w14:textId="0DA90965" w:rsidR="00591998" w:rsidRPr="00706E4B" w:rsidRDefault="00EB2AF1" w:rsidP="008B2AB6">
            <w:pPr>
              <w:jc w:val="center"/>
              <w:rPr>
                <w:rFonts w:ascii="Garamond" w:hAnsi="Garamond" w:cs="Segoe UI"/>
                <w:sz w:val="24"/>
                <w:szCs w:val="24"/>
                <w:lang w:eastAsia="es-CO"/>
              </w:rPr>
            </w:pPr>
            <w:r w:rsidRPr="00706E4B">
              <w:rPr>
                <w:rFonts w:ascii="Garamond" w:eastAsia="Arial MT" w:hAnsi="Garamond" w:cs="Arial MT"/>
                <w:sz w:val="24"/>
                <w:szCs w:val="24"/>
                <w:lang w:val="es-ES" w:eastAsia="en-US"/>
              </w:rPr>
              <w:t>Instalaciones educativas</w:t>
            </w:r>
          </w:p>
        </w:tc>
        <w:tc>
          <w:tcPr>
            <w:tcW w:w="2279" w:type="dxa"/>
          </w:tcPr>
          <w:p w14:paraId="17510844" w14:textId="28F620AA" w:rsidR="00591998" w:rsidRPr="00706E4B" w:rsidRDefault="00EB2AF1" w:rsidP="008B2AB6">
            <w:pPr>
              <w:jc w:val="center"/>
              <w:rPr>
                <w:rFonts w:ascii="Garamond" w:hAnsi="Garamond" w:cs="Segoe UI"/>
                <w:sz w:val="24"/>
                <w:szCs w:val="24"/>
                <w:lang w:eastAsia="es-CO"/>
              </w:rPr>
            </w:pPr>
            <w:r w:rsidRPr="00706E4B">
              <w:rPr>
                <w:rFonts w:ascii="Garamond" w:hAnsi="Garamond"/>
                <w:sz w:val="24"/>
                <w:szCs w:val="24"/>
              </w:rPr>
              <w:t>Servicios de guía educativa</w:t>
            </w:r>
          </w:p>
        </w:tc>
      </w:tr>
      <w:tr w:rsidR="00591998" w:rsidRPr="00706E4B" w14:paraId="491DFFE4" w14:textId="77777777" w:rsidTr="00591998">
        <w:tc>
          <w:tcPr>
            <w:tcW w:w="2278" w:type="dxa"/>
          </w:tcPr>
          <w:p w14:paraId="177748C3" w14:textId="6670F058" w:rsidR="00591998" w:rsidRPr="00706E4B" w:rsidRDefault="00EB2AF1" w:rsidP="008B2AB6">
            <w:pPr>
              <w:jc w:val="center"/>
              <w:rPr>
                <w:rFonts w:ascii="Garamond" w:eastAsia="Arial" w:hAnsi="Garamond" w:cs="Arial"/>
                <w:sz w:val="24"/>
                <w:szCs w:val="24"/>
              </w:rPr>
            </w:pPr>
            <w:r w:rsidRPr="00706E4B">
              <w:rPr>
                <w:rFonts w:ascii="Garamond" w:eastAsia="Arial" w:hAnsi="Garamond" w:cs="Arial"/>
                <w:sz w:val="24"/>
                <w:szCs w:val="24"/>
              </w:rPr>
              <w:t>86111500</w:t>
            </w:r>
          </w:p>
        </w:tc>
        <w:tc>
          <w:tcPr>
            <w:tcW w:w="2278" w:type="dxa"/>
          </w:tcPr>
          <w:p w14:paraId="562F1CB5" w14:textId="577D2F26" w:rsidR="00591998" w:rsidRPr="00706E4B" w:rsidRDefault="00EB2AF1" w:rsidP="008B2AB6">
            <w:pPr>
              <w:jc w:val="center"/>
              <w:rPr>
                <w:rFonts w:ascii="Garamond" w:hAnsi="Garamond" w:cs="Segoe UI"/>
                <w:sz w:val="24"/>
                <w:szCs w:val="24"/>
                <w:lang w:eastAsia="es-CO"/>
              </w:rPr>
            </w:pPr>
            <w:r w:rsidRPr="00706E4B">
              <w:rPr>
                <w:rFonts w:ascii="Garamond" w:hAnsi="Garamond"/>
                <w:sz w:val="24"/>
                <w:szCs w:val="24"/>
              </w:rPr>
              <w:t>Servicios educativos y de formación</w:t>
            </w:r>
          </w:p>
        </w:tc>
        <w:tc>
          <w:tcPr>
            <w:tcW w:w="2278" w:type="dxa"/>
          </w:tcPr>
          <w:p w14:paraId="686D2A9C" w14:textId="668AEF14" w:rsidR="00591998" w:rsidRPr="00706E4B" w:rsidRDefault="00EB2AF1" w:rsidP="008B2AB6">
            <w:pPr>
              <w:jc w:val="center"/>
              <w:rPr>
                <w:rFonts w:ascii="Garamond" w:hAnsi="Garamond" w:cs="Segoe UI"/>
                <w:sz w:val="24"/>
                <w:szCs w:val="24"/>
                <w:lang w:eastAsia="es-CO"/>
              </w:rPr>
            </w:pPr>
            <w:r w:rsidRPr="00706E4B">
              <w:rPr>
                <w:rFonts w:ascii="Garamond" w:eastAsia="Arial" w:hAnsi="Garamond" w:cs="Arial"/>
                <w:sz w:val="24"/>
                <w:szCs w:val="24"/>
              </w:rPr>
              <w:t xml:space="preserve">Servicios </w:t>
            </w:r>
            <w:r w:rsidR="007F57A9" w:rsidRPr="00706E4B">
              <w:rPr>
                <w:rFonts w:ascii="Garamond" w:eastAsia="Arial" w:hAnsi="Garamond" w:cs="Arial"/>
                <w:sz w:val="24"/>
                <w:szCs w:val="24"/>
              </w:rPr>
              <w:t>educativos alternativos</w:t>
            </w:r>
          </w:p>
        </w:tc>
        <w:tc>
          <w:tcPr>
            <w:tcW w:w="2279" w:type="dxa"/>
          </w:tcPr>
          <w:p w14:paraId="3F08A13A" w14:textId="5AC0E22A" w:rsidR="00591998" w:rsidRPr="00706E4B" w:rsidRDefault="00EB2AF1" w:rsidP="008B2AB6">
            <w:pPr>
              <w:jc w:val="center"/>
              <w:rPr>
                <w:rFonts w:ascii="Garamond" w:hAnsi="Garamond" w:cs="Segoe UI"/>
                <w:sz w:val="24"/>
                <w:szCs w:val="24"/>
                <w:lang w:eastAsia="es-CO"/>
              </w:rPr>
            </w:pPr>
            <w:r w:rsidRPr="00706E4B">
              <w:rPr>
                <w:rFonts w:ascii="Garamond" w:eastAsia="Arial" w:hAnsi="Garamond" w:cs="Arial"/>
                <w:sz w:val="24"/>
                <w:szCs w:val="24"/>
                <w:lang w:val="es-MX"/>
              </w:rPr>
              <w:t>Servicios de aprendizaje a distancia</w:t>
            </w:r>
          </w:p>
        </w:tc>
      </w:tr>
      <w:tr w:rsidR="00591998" w:rsidRPr="00706E4B" w14:paraId="62986CB9" w14:textId="77777777" w:rsidTr="00591998">
        <w:tc>
          <w:tcPr>
            <w:tcW w:w="2278" w:type="dxa"/>
          </w:tcPr>
          <w:p w14:paraId="1EEEB528" w14:textId="5A223919" w:rsidR="00591998" w:rsidRPr="00706E4B" w:rsidRDefault="00EB2AF1" w:rsidP="008B2AB6">
            <w:pPr>
              <w:jc w:val="center"/>
              <w:rPr>
                <w:rFonts w:ascii="Garamond" w:eastAsia="Arial" w:hAnsi="Garamond" w:cs="Arial"/>
                <w:sz w:val="24"/>
                <w:szCs w:val="24"/>
              </w:rPr>
            </w:pPr>
            <w:r w:rsidRPr="00706E4B">
              <w:rPr>
                <w:rFonts w:ascii="Garamond" w:eastAsia="Arial" w:hAnsi="Garamond" w:cs="Arial"/>
                <w:sz w:val="24"/>
                <w:szCs w:val="24"/>
              </w:rPr>
              <w:t>86111600</w:t>
            </w:r>
          </w:p>
        </w:tc>
        <w:tc>
          <w:tcPr>
            <w:tcW w:w="2278" w:type="dxa"/>
          </w:tcPr>
          <w:p w14:paraId="46A88584" w14:textId="3B7CF6AF" w:rsidR="00591998" w:rsidRPr="00706E4B" w:rsidRDefault="0070617D" w:rsidP="008B2AB6">
            <w:pPr>
              <w:jc w:val="center"/>
              <w:rPr>
                <w:rFonts w:ascii="Garamond" w:hAnsi="Garamond" w:cs="Segoe UI"/>
                <w:sz w:val="24"/>
                <w:szCs w:val="24"/>
                <w:lang w:eastAsia="es-CO"/>
              </w:rPr>
            </w:pPr>
            <w:r w:rsidRPr="00706E4B">
              <w:rPr>
                <w:rFonts w:ascii="Garamond" w:hAnsi="Garamond"/>
                <w:sz w:val="24"/>
                <w:szCs w:val="24"/>
              </w:rPr>
              <w:t>Servicios educativos y de formación</w:t>
            </w:r>
          </w:p>
        </w:tc>
        <w:tc>
          <w:tcPr>
            <w:tcW w:w="2278" w:type="dxa"/>
          </w:tcPr>
          <w:p w14:paraId="4A16E574" w14:textId="3AD38782" w:rsidR="00591998" w:rsidRPr="00706E4B" w:rsidRDefault="0070617D" w:rsidP="008B2AB6">
            <w:pPr>
              <w:jc w:val="center"/>
              <w:rPr>
                <w:rFonts w:ascii="Garamond" w:hAnsi="Garamond" w:cs="Segoe UI"/>
                <w:sz w:val="24"/>
                <w:szCs w:val="24"/>
                <w:lang w:eastAsia="es-CO"/>
              </w:rPr>
            </w:pPr>
            <w:r w:rsidRPr="00706E4B">
              <w:rPr>
                <w:rFonts w:ascii="Garamond" w:eastAsia="Arial" w:hAnsi="Garamond" w:cs="Arial"/>
                <w:sz w:val="24"/>
                <w:szCs w:val="24"/>
              </w:rPr>
              <w:t>Servicios educativos alternativos</w:t>
            </w:r>
          </w:p>
        </w:tc>
        <w:tc>
          <w:tcPr>
            <w:tcW w:w="2279" w:type="dxa"/>
          </w:tcPr>
          <w:p w14:paraId="6B6D7E70" w14:textId="6694DC9D" w:rsidR="00591998" w:rsidRPr="00706E4B" w:rsidRDefault="0070617D" w:rsidP="008B2AB6">
            <w:pPr>
              <w:jc w:val="center"/>
              <w:rPr>
                <w:rFonts w:ascii="Garamond" w:hAnsi="Garamond" w:cs="Segoe UI"/>
                <w:sz w:val="24"/>
                <w:szCs w:val="24"/>
                <w:lang w:eastAsia="es-CO"/>
              </w:rPr>
            </w:pPr>
            <w:r w:rsidRPr="00706E4B">
              <w:rPr>
                <w:rFonts w:ascii="Garamond" w:eastAsia="Arial" w:hAnsi="Garamond" w:cs="Arial"/>
                <w:sz w:val="24"/>
                <w:szCs w:val="24"/>
              </w:rPr>
              <w:t>Educación de adultos</w:t>
            </w:r>
          </w:p>
        </w:tc>
      </w:tr>
      <w:tr w:rsidR="00EB2AF1" w:rsidRPr="00706E4B" w14:paraId="49B5F357" w14:textId="77777777" w:rsidTr="00591998">
        <w:tc>
          <w:tcPr>
            <w:tcW w:w="2278" w:type="dxa"/>
          </w:tcPr>
          <w:p w14:paraId="205F3B9B" w14:textId="6445371B" w:rsidR="00EB2AF1" w:rsidRPr="00706E4B" w:rsidRDefault="00EB2AF1" w:rsidP="008B2AB6">
            <w:pPr>
              <w:jc w:val="center"/>
              <w:rPr>
                <w:rFonts w:ascii="Garamond" w:eastAsia="Arial" w:hAnsi="Garamond" w:cs="Arial"/>
                <w:sz w:val="24"/>
                <w:szCs w:val="24"/>
              </w:rPr>
            </w:pPr>
            <w:r w:rsidRPr="00706E4B">
              <w:rPr>
                <w:rFonts w:ascii="Garamond" w:eastAsia="Arial" w:hAnsi="Garamond" w:cs="Arial"/>
                <w:sz w:val="24"/>
                <w:szCs w:val="24"/>
              </w:rPr>
              <w:t>93141500</w:t>
            </w:r>
          </w:p>
        </w:tc>
        <w:tc>
          <w:tcPr>
            <w:tcW w:w="2278" w:type="dxa"/>
          </w:tcPr>
          <w:p w14:paraId="007E701F" w14:textId="272FA7DE" w:rsidR="00EB2AF1" w:rsidRPr="00706E4B" w:rsidRDefault="0070617D" w:rsidP="008B2AB6">
            <w:pPr>
              <w:jc w:val="center"/>
              <w:rPr>
                <w:rFonts w:ascii="Garamond" w:hAnsi="Garamond" w:cs="Segoe UI"/>
                <w:sz w:val="24"/>
                <w:szCs w:val="24"/>
                <w:lang w:eastAsia="es-CO"/>
              </w:rPr>
            </w:pPr>
            <w:r w:rsidRPr="00706E4B">
              <w:rPr>
                <w:rFonts w:ascii="Garamond" w:hAnsi="Garamond"/>
                <w:sz w:val="24"/>
                <w:szCs w:val="24"/>
                <w:lang w:val="es-MX"/>
              </w:rPr>
              <w:t xml:space="preserve">Servicios </w:t>
            </w:r>
            <w:r w:rsidR="006C7789" w:rsidRPr="00706E4B">
              <w:rPr>
                <w:rFonts w:ascii="Garamond" w:hAnsi="Garamond"/>
                <w:sz w:val="24"/>
                <w:szCs w:val="24"/>
                <w:lang w:val="es-MX"/>
              </w:rPr>
              <w:t>Políticos</w:t>
            </w:r>
            <w:r w:rsidRPr="00706E4B">
              <w:rPr>
                <w:rFonts w:ascii="Garamond" w:hAnsi="Garamond"/>
                <w:sz w:val="24"/>
                <w:szCs w:val="24"/>
                <w:lang w:val="es-MX"/>
              </w:rPr>
              <w:t xml:space="preserve"> y de Asuntos </w:t>
            </w:r>
            <w:r w:rsidR="00DC5FB3" w:rsidRPr="00706E4B">
              <w:rPr>
                <w:rFonts w:ascii="Garamond" w:hAnsi="Garamond"/>
                <w:sz w:val="24"/>
                <w:szCs w:val="24"/>
                <w:lang w:val="es-MX"/>
              </w:rPr>
              <w:t>Cívicos</w:t>
            </w:r>
          </w:p>
        </w:tc>
        <w:tc>
          <w:tcPr>
            <w:tcW w:w="2278" w:type="dxa"/>
          </w:tcPr>
          <w:p w14:paraId="0D9FFB54" w14:textId="187A8633" w:rsidR="00EB2AF1" w:rsidRPr="00706E4B" w:rsidRDefault="0070617D" w:rsidP="008B2AB6">
            <w:pPr>
              <w:jc w:val="center"/>
              <w:rPr>
                <w:rFonts w:ascii="Garamond" w:hAnsi="Garamond" w:cs="Segoe UI"/>
                <w:sz w:val="24"/>
                <w:szCs w:val="24"/>
                <w:lang w:eastAsia="es-CO"/>
              </w:rPr>
            </w:pPr>
            <w:r w:rsidRPr="00706E4B">
              <w:rPr>
                <w:rFonts w:ascii="Garamond" w:eastAsia="Arial" w:hAnsi="Garamond" w:cs="Arial"/>
                <w:sz w:val="24"/>
                <w:szCs w:val="24"/>
              </w:rPr>
              <w:t>Servicios Comunitarios y Sociales</w:t>
            </w:r>
          </w:p>
        </w:tc>
        <w:tc>
          <w:tcPr>
            <w:tcW w:w="2279" w:type="dxa"/>
          </w:tcPr>
          <w:p w14:paraId="4D79837B" w14:textId="3E4F6BE8" w:rsidR="00EB2AF1" w:rsidRPr="00706E4B" w:rsidRDefault="0070617D" w:rsidP="008B2AB6">
            <w:pPr>
              <w:jc w:val="center"/>
              <w:rPr>
                <w:rFonts w:ascii="Garamond" w:hAnsi="Garamond" w:cs="Segoe UI"/>
                <w:sz w:val="24"/>
                <w:szCs w:val="24"/>
                <w:lang w:eastAsia="es-CO"/>
              </w:rPr>
            </w:pPr>
            <w:r w:rsidRPr="00706E4B">
              <w:rPr>
                <w:rFonts w:ascii="Garamond" w:eastAsia="Arial" w:hAnsi="Garamond" w:cs="Arial"/>
                <w:sz w:val="24"/>
                <w:szCs w:val="24"/>
              </w:rPr>
              <w:t>Desarrollo y Servicios Sociales</w:t>
            </w:r>
          </w:p>
        </w:tc>
      </w:tr>
      <w:tr w:rsidR="00F566EF" w:rsidRPr="00706E4B" w14:paraId="1B8CB84D" w14:textId="77777777" w:rsidTr="00591998">
        <w:tc>
          <w:tcPr>
            <w:tcW w:w="2278" w:type="dxa"/>
          </w:tcPr>
          <w:p w14:paraId="3BE99A3B" w14:textId="3F61500B" w:rsidR="00F566EF" w:rsidRPr="00706E4B" w:rsidRDefault="00F566EF" w:rsidP="008B2AB6">
            <w:pPr>
              <w:jc w:val="center"/>
              <w:rPr>
                <w:rFonts w:ascii="Garamond" w:eastAsia="Arial" w:hAnsi="Garamond" w:cs="Arial"/>
                <w:sz w:val="24"/>
                <w:szCs w:val="24"/>
              </w:rPr>
            </w:pPr>
            <w:r w:rsidRPr="00706E4B">
              <w:rPr>
                <w:rFonts w:ascii="Garamond" w:eastAsia="Arial" w:hAnsi="Garamond" w:cs="Arial"/>
                <w:sz w:val="24"/>
                <w:szCs w:val="24"/>
              </w:rPr>
              <w:t>90101600</w:t>
            </w:r>
          </w:p>
        </w:tc>
        <w:tc>
          <w:tcPr>
            <w:tcW w:w="2278" w:type="dxa"/>
          </w:tcPr>
          <w:p w14:paraId="0BCE9C02" w14:textId="5719232B" w:rsidR="00F566EF" w:rsidRPr="00706E4B" w:rsidRDefault="00FC2543" w:rsidP="008B2AB6">
            <w:pPr>
              <w:jc w:val="center"/>
              <w:rPr>
                <w:rFonts w:ascii="Garamond" w:hAnsi="Garamond"/>
                <w:sz w:val="24"/>
                <w:szCs w:val="24"/>
                <w:lang w:val="es-MX"/>
              </w:rPr>
            </w:pPr>
            <w:r w:rsidRPr="00706E4B">
              <w:rPr>
                <w:rFonts w:ascii="Garamond" w:hAnsi="Garamond"/>
                <w:sz w:val="24"/>
                <w:szCs w:val="24"/>
                <w:lang w:val="es-MX"/>
              </w:rPr>
              <w:t>Servicios</w:t>
            </w:r>
          </w:p>
        </w:tc>
        <w:tc>
          <w:tcPr>
            <w:tcW w:w="2278" w:type="dxa"/>
          </w:tcPr>
          <w:p w14:paraId="1043B2A6" w14:textId="34A59F89" w:rsidR="00F566EF" w:rsidRPr="00706E4B" w:rsidRDefault="00FC2543" w:rsidP="008B2AB6">
            <w:pPr>
              <w:jc w:val="center"/>
              <w:rPr>
                <w:rFonts w:ascii="Garamond" w:eastAsia="Arial" w:hAnsi="Garamond" w:cs="Arial"/>
                <w:sz w:val="24"/>
                <w:szCs w:val="24"/>
              </w:rPr>
            </w:pPr>
            <w:r w:rsidRPr="00706E4B">
              <w:rPr>
                <w:rFonts w:ascii="Garamond" w:eastAsia="Arial" w:hAnsi="Garamond" w:cs="Arial"/>
                <w:sz w:val="24"/>
                <w:szCs w:val="24"/>
              </w:rPr>
              <w:t>Servicios de alimentos</w:t>
            </w:r>
          </w:p>
        </w:tc>
        <w:tc>
          <w:tcPr>
            <w:tcW w:w="2279" w:type="dxa"/>
          </w:tcPr>
          <w:p w14:paraId="10294D72" w14:textId="7CA2A0D0" w:rsidR="00F566EF" w:rsidRPr="00706E4B" w:rsidRDefault="00FC2543" w:rsidP="008B2AB6">
            <w:pPr>
              <w:jc w:val="center"/>
              <w:rPr>
                <w:rFonts w:ascii="Garamond" w:eastAsia="Arial" w:hAnsi="Garamond" w:cs="Arial"/>
                <w:sz w:val="24"/>
                <w:szCs w:val="24"/>
              </w:rPr>
            </w:pPr>
            <w:r w:rsidRPr="00706E4B">
              <w:rPr>
                <w:rFonts w:ascii="Garamond" w:eastAsia="Arial" w:hAnsi="Garamond" w:cs="Arial"/>
                <w:sz w:val="24"/>
                <w:szCs w:val="24"/>
              </w:rPr>
              <w:t>Servicios de Banquetes y Catering</w:t>
            </w:r>
          </w:p>
        </w:tc>
      </w:tr>
      <w:tr w:rsidR="007D71F5" w:rsidRPr="00706E4B" w14:paraId="561FDA4E" w14:textId="77777777" w:rsidTr="00591998">
        <w:tc>
          <w:tcPr>
            <w:tcW w:w="2278" w:type="dxa"/>
          </w:tcPr>
          <w:p w14:paraId="706568E4" w14:textId="40EE2015" w:rsidR="007D71F5" w:rsidRPr="00706E4B" w:rsidRDefault="007D71F5" w:rsidP="008B2AB6">
            <w:pPr>
              <w:jc w:val="center"/>
              <w:rPr>
                <w:rFonts w:ascii="Garamond" w:eastAsia="Arial" w:hAnsi="Garamond" w:cs="Arial"/>
                <w:sz w:val="24"/>
                <w:szCs w:val="24"/>
              </w:rPr>
            </w:pPr>
            <w:r w:rsidRPr="00706E4B">
              <w:rPr>
                <w:rFonts w:ascii="Garamond" w:eastAsia="Arial" w:hAnsi="Garamond" w:cs="Arial"/>
                <w:sz w:val="24"/>
                <w:szCs w:val="24"/>
              </w:rPr>
              <w:t>14101500</w:t>
            </w:r>
          </w:p>
        </w:tc>
        <w:tc>
          <w:tcPr>
            <w:tcW w:w="2278" w:type="dxa"/>
          </w:tcPr>
          <w:p w14:paraId="7D75D79A" w14:textId="0AAC2972" w:rsidR="007D71F5" w:rsidRPr="00706E4B" w:rsidRDefault="007D71F5" w:rsidP="008B2AB6">
            <w:pPr>
              <w:jc w:val="center"/>
              <w:rPr>
                <w:rFonts w:ascii="Garamond" w:hAnsi="Garamond"/>
                <w:sz w:val="24"/>
                <w:szCs w:val="24"/>
                <w:lang w:val="es-MX"/>
              </w:rPr>
            </w:pPr>
            <w:r w:rsidRPr="00706E4B">
              <w:rPr>
                <w:rFonts w:ascii="Garamond" w:hAnsi="Garamond"/>
                <w:sz w:val="24"/>
                <w:szCs w:val="24"/>
                <w:lang w:val="es-MX"/>
              </w:rPr>
              <w:t>Materiales y productos de papel</w:t>
            </w:r>
          </w:p>
        </w:tc>
        <w:tc>
          <w:tcPr>
            <w:tcW w:w="2278" w:type="dxa"/>
          </w:tcPr>
          <w:p w14:paraId="2CDD3AFD" w14:textId="1B48911E" w:rsidR="007D71F5" w:rsidRPr="00706E4B" w:rsidRDefault="007D71F5" w:rsidP="008B2AB6">
            <w:pPr>
              <w:jc w:val="center"/>
              <w:rPr>
                <w:rFonts w:ascii="Garamond" w:eastAsia="Arial" w:hAnsi="Garamond" w:cs="Arial"/>
                <w:sz w:val="24"/>
                <w:szCs w:val="24"/>
                <w:lang w:val="es-MX"/>
              </w:rPr>
            </w:pPr>
            <w:r w:rsidRPr="00706E4B">
              <w:rPr>
                <w:rFonts w:ascii="Garamond" w:eastAsia="Arial" w:hAnsi="Garamond" w:cs="Arial"/>
                <w:sz w:val="24"/>
                <w:szCs w:val="24"/>
                <w:lang w:val="es-MX"/>
              </w:rPr>
              <w:t>Materiales de papel</w:t>
            </w:r>
          </w:p>
        </w:tc>
        <w:tc>
          <w:tcPr>
            <w:tcW w:w="2279" w:type="dxa"/>
          </w:tcPr>
          <w:p w14:paraId="3E2CC21E" w14:textId="2D08E409" w:rsidR="007D71F5" w:rsidRPr="00706E4B" w:rsidRDefault="007D71F5" w:rsidP="008B2AB6">
            <w:pPr>
              <w:jc w:val="center"/>
              <w:rPr>
                <w:rFonts w:ascii="Garamond" w:eastAsia="Arial" w:hAnsi="Garamond" w:cs="Arial"/>
                <w:sz w:val="24"/>
                <w:szCs w:val="24"/>
              </w:rPr>
            </w:pPr>
            <w:r w:rsidRPr="00706E4B">
              <w:rPr>
                <w:rFonts w:ascii="Garamond" w:eastAsia="Arial" w:hAnsi="Garamond" w:cs="Arial"/>
                <w:sz w:val="24"/>
                <w:szCs w:val="24"/>
              </w:rPr>
              <w:t>Materia primas</w:t>
            </w:r>
          </w:p>
        </w:tc>
      </w:tr>
      <w:tr w:rsidR="007D71F5" w:rsidRPr="00706E4B" w14:paraId="78E837CA" w14:textId="77777777" w:rsidTr="00591998">
        <w:tc>
          <w:tcPr>
            <w:tcW w:w="2278" w:type="dxa"/>
          </w:tcPr>
          <w:p w14:paraId="4DD3CE91" w14:textId="77777777" w:rsidR="007D71F5" w:rsidRPr="00706E4B" w:rsidRDefault="007D71F5" w:rsidP="008B2AB6">
            <w:pPr>
              <w:jc w:val="center"/>
              <w:rPr>
                <w:rFonts w:ascii="Garamond" w:eastAsia="Arial" w:hAnsi="Garamond" w:cs="Arial"/>
                <w:sz w:val="24"/>
                <w:szCs w:val="24"/>
              </w:rPr>
            </w:pPr>
          </w:p>
          <w:p w14:paraId="5C2CCA93" w14:textId="1908CCAD" w:rsidR="007D71F5" w:rsidRPr="00706E4B" w:rsidRDefault="007D71F5" w:rsidP="008B2AB6">
            <w:pPr>
              <w:jc w:val="center"/>
              <w:rPr>
                <w:rFonts w:ascii="Garamond" w:eastAsia="Arial" w:hAnsi="Garamond" w:cs="Arial"/>
                <w:sz w:val="24"/>
                <w:szCs w:val="24"/>
              </w:rPr>
            </w:pPr>
            <w:r w:rsidRPr="00706E4B">
              <w:rPr>
                <w:rFonts w:ascii="Garamond" w:eastAsia="Arial" w:hAnsi="Garamond" w:cs="Arial"/>
                <w:sz w:val="24"/>
                <w:szCs w:val="24"/>
              </w:rPr>
              <w:t>44111500</w:t>
            </w:r>
          </w:p>
        </w:tc>
        <w:tc>
          <w:tcPr>
            <w:tcW w:w="2278" w:type="dxa"/>
          </w:tcPr>
          <w:p w14:paraId="3D644D95" w14:textId="594247B4" w:rsidR="007D71F5" w:rsidRPr="00706E4B" w:rsidRDefault="007D71F5" w:rsidP="008B2AB6">
            <w:pPr>
              <w:jc w:val="center"/>
              <w:rPr>
                <w:rFonts w:ascii="Garamond" w:hAnsi="Garamond"/>
                <w:sz w:val="24"/>
                <w:szCs w:val="24"/>
                <w:lang w:val="es-MX"/>
              </w:rPr>
            </w:pPr>
            <w:r w:rsidRPr="00706E4B">
              <w:rPr>
                <w:rFonts w:ascii="Garamond" w:hAnsi="Garamond"/>
                <w:sz w:val="24"/>
                <w:szCs w:val="24"/>
                <w:lang w:val="es-MX"/>
              </w:rPr>
              <w:t>Equipos de oficina, accesorios y suministro</w:t>
            </w:r>
          </w:p>
        </w:tc>
        <w:tc>
          <w:tcPr>
            <w:tcW w:w="2278" w:type="dxa"/>
          </w:tcPr>
          <w:p w14:paraId="4C012159" w14:textId="16F8346F" w:rsidR="007D71F5" w:rsidRPr="00706E4B" w:rsidRDefault="007D71F5" w:rsidP="008B2AB6">
            <w:pPr>
              <w:jc w:val="center"/>
              <w:rPr>
                <w:rFonts w:ascii="Garamond" w:eastAsia="Arial" w:hAnsi="Garamond" w:cs="Arial"/>
                <w:sz w:val="24"/>
                <w:szCs w:val="24"/>
              </w:rPr>
            </w:pPr>
            <w:r w:rsidRPr="00706E4B">
              <w:rPr>
                <w:rFonts w:ascii="Garamond" w:eastAsia="Arial" w:hAnsi="Garamond" w:cs="Arial"/>
                <w:sz w:val="24"/>
                <w:szCs w:val="24"/>
              </w:rPr>
              <w:t xml:space="preserve">Accesorios de oficina y escritorio </w:t>
            </w:r>
          </w:p>
        </w:tc>
        <w:tc>
          <w:tcPr>
            <w:tcW w:w="2279" w:type="dxa"/>
          </w:tcPr>
          <w:p w14:paraId="62693377" w14:textId="552517EC" w:rsidR="007D71F5" w:rsidRPr="00706E4B" w:rsidRDefault="007D71F5" w:rsidP="008B2AB6">
            <w:pPr>
              <w:jc w:val="center"/>
              <w:rPr>
                <w:rFonts w:ascii="Garamond" w:eastAsia="Arial" w:hAnsi="Garamond" w:cs="Arial"/>
                <w:sz w:val="24"/>
                <w:szCs w:val="24"/>
              </w:rPr>
            </w:pPr>
            <w:r w:rsidRPr="00706E4B">
              <w:rPr>
                <w:rFonts w:ascii="Garamond" w:eastAsia="Arial" w:hAnsi="Garamond" w:cs="Arial"/>
                <w:sz w:val="24"/>
                <w:szCs w:val="24"/>
              </w:rPr>
              <w:t>Agendad y accesorios</w:t>
            </w:r>
          </w:p>
        </w:tc>
      </w:tr>
      <w:tr w:rsidR="007D71F5" w:rsidRPr="00706E4B" w14:paraId="38C8917C" w14:textId="77777777" w:rsidTr="00591998">
        <w:tc>
          <w:tcPr>
            <w:tcW w:w="2278" w:type="dxa"/>
          </w:tcPr>
          <w:p w14:paraId="7BE8F01B" w14:textId="5A04497C" w:rsidR="007D71F5" w:rsidRPr="00706E4B" w:rsidRDefault="007E4AA5" w:rsidP="008B2AB6">
            <w:pPr>
              <w:jc w:val="center"/>
              <w:rPr>
                <w:rFonts w:ascii="Garamond" w:eastAsia="Arial" w:hAnsi="Garamond" w:cs="Arial"/>
                <w:sz w:val="24"/>
                <w:szCs w:val="24"/>
              </w:rPr>
            </w:pPr>
            <w:r w:rsidRPr="00706E4B">
              <w:rPr>
                <w:rFonts w:ascii="Garamond" w:eastAsia="Arial" w:hAnsi="Garamond" w:cs="Arial"/>
                <w:sz w:val="24"/>
                <w:szCs w:val="24"/>
              </w:rPr>
              <w:t>44121700</w:t>
            </w:r>
          </w:p>
        </w:tc>
        <w:tc>
          <w:tcPr>
            <w:tcW w:w="2278" w:type="dxa"/>
          </w:tcPr>
          <w:p w14:paraId="32503CB0" w14:textId="701E86E4" w:rsidR="007D71F5" w:rsidRPr="00706E4B" w:rsidRDefault="007E4AA5" w:rsidP="008B2AB6">
            <w:pPr>
              <w:jc w:val="center"/>
              <w:rPr>
                <w:rFonts w:ascii="Garamond" w:hAnsi="Garamond"/>
                <w:sz w:val="24"/>
                <w:szCs w:val="24"/>
                <w:lang w:val="es-MX"/>
              </w:rPr>
            </w:pPr>
            <w:r w:rsidRPr="00706E4B">
              <w:rPr>
                <w:rFonts w:ascii="Garamond" w:hAnsi="Garamond"/>
                <w:sz w:val="24"/>
                <w:szCs w:val="24"/>
                <w:lang w:val="es-MX"/>
              </w:rPr>
              <w:t>Equipos de oficina, accesorios y suministro</w:t>
            </w:r>
          </w:p>
        </w:tc>
        <w:tc>
          <w:tcPr>
            <w:tcW w:w="2278" w:type="dxa"/>
          </w:tcPr>
          <w:p w14:paraId="4B34EF99" w14:textId="44F9B436" w:rsidR="007D71F5" w:rsidRPr="00706E4B" w:rsidRDefault="007E4AA5" w:rsidP="008B2AB6">
            <w:pPr>
              <w:jc w:val="center"/>
              <w:rPr>
                <w:rFonts w:ascii="Garamond" w:eastAsia="Arial" w:hAnsi="Garamond" w:cs="Arial"/>
                <w:sz w:val="24"/>
                <w:szCs w:val="24"/>
              </w:rPr>
            </w:pPr>
            <w:r w:rsidRPr="00706E4B">
              <w:rPr>
                <w:rFonts w:ascii="Garamond" w:eastAsia="Arial" w:hAnsi="Garamond" w:cs="Arial"/>
                <w:sz w:val="24"/>
                <w:szCs w:val="24"/>
              </w:rPr>
              <w:t xml:space="preserve">Suministro de oficina </w:t>
            </w:r>
          </w:p>
        </w:tc>
        <w:tc>
          <w:tcPr>
            <w:tcW w:w="2279" w:type="dxa"/>
          </w:tcPr>
          <w:p w14:paraId="48D89B3F" w14:textId="666994B6" w:rsidR="007D71F5" w:rsidRPr="00706E4B" w:rsidRDefault="007E4AA5" w:rsidP="008B2AB6">
            <w:pPr>
              <w:jc w:val="center"/>
              <w:rPr>
                <w:rFonts w:ascii="Garamond" w:eastAsia="Arial" w:hAnsi="Garamond" w:cs="Arial"/>
                <w:sz w:val="24"/>
                <w:szCs w:val="24"/>
              </w:rPr>
            </w:pPr>
            <w:r w:rsidRPr="00706E4B">
              <w:rPr>
                <w:rFonts w:ascii="Garamond" w:eastAsia="Arial" w:hAnsi="Garamond" w:cs="Arial"/>
                <w:sz w:val="24"/>
                <w:szCs w:val="24"/>
              </w:rPr>
              <w:t xml:space="preserve">Instrumentos de escritura </w:t>
            </w:r>
          </w:p>
        </w:tc>
      </w:tr>
    </w:tbl>
    <w:p w14:paraId="0D276400" w14:textId="5946A96C" w:rsidR="0088311A" w:rsidRPr="00706E4B" w:rsidRDefault="0088311A" w:rsidP="008B2AB6">
      <w:pPr>
        <w:jc w:val="center"/>
        <w:rPr>
          <w:rFonts w:ascii="Garamond" w:hAnsi="Garamond" w:cs="Segoe UI"/>
          <w:sz w:val="24"/>
          <w:szCs w:val="24"/>
          <w:lang w:eastAsia="es-CO"/>
        </w:rPr>
      </w:pPr>
    </w:p>
    <w:p w14:paraId="0A8110C4" w14:textId="77777777" w:rsidR="0055034F" w:rsidRPr="00706E4B" w:rsidRDefault="0055034F" w:rsidP="00FE0D26">
      <w:pPr>
        <w:spacing w:line="276" w:lineRule="auto"/>
        <w:jc w:val="both"/>
        <w:rPr>
          <w:rFonts w:ascii="Garamond" w:eastAsia="Garamond" w:hAnsi="Garamond" w:cs="Garamond"/>
          <w:color w:val="000000"/>
          <w:kern w:val="3"/>
          <w:sz w:val="24"/>
          <w:szCs w:val="24"/>
          <w:highlight w:val="yellow"/>
          <w:lang w:eastAsia="zh-CN"/>
        </w:rPr>
      </w:pPr>
    </w:p>
    <w:p w14:paraId="1840D49D" w14:textId="0F130415" w:rsidR="006A636B" w:rsidRPr="00706E4B" w:rsidRDefault="00ED3300" w:rsidP="0009556B">
      <w:pPr>
        <w:pStyle w:val="Prrafodelista"/>
        <w:numPr>
          <w:ilvl w:val="0"/>
          <w:numId w:val="2"/>
        </w:numPr>
        <w:spacing w:line="276" w:lineRule="auto"/>
        <w:jc w:val="both"/>
        <w:rPr>
          <w:rFonts w:ascii="Garamond" w:eastAsia="Arial" w:hAnsi="Garamond" w:cs="Arial"/>
          <w:b/>
          <w:bCs/>
          <w:sz w:val="24"/>
          <w:szCs w:val="24"/>
        </w:rPr>
      </w:pPr>
      <w:r w:rsidRPr="00706E4B">
        <w:rPr>
          <w:rFonts w:ascii="Garamond" w:eastAsia="Arial" w:hAnsi="Garamond" w:cs="Arial"/>
          <w:b/>
          <w:bCs/>
          <w:sz w:val="24"/>
          <w:szCs w:val="24"/>
        </w:rPr>
        <w:t xml:space="preserve">COMPORTAMIENTO DEL GASTO </w:t>
      </w:r>
      <w:r w:rsidR="00DC5FB3" w:rsidRPr="00706E4B">
        <w:rPr>
          <w:rFonts w:ascii="Garamond" w:eastAsia="Arial" w:hAnsi="Garamond" w:cs="Arial"/>
          <w:b/>
          <w:bCs/>
          <w:sz w:val="24"/>
          <w:szCs w:val="24"/>
        </w:rPr>
        <w:t>HISTÓRICO</w:t>
      </w:r>
    </w:p>
    <w:p w14:paraId="508AF986" w14:textId="77777777" w:rsidR="00267731" w:rsidRPr="002F5957" w:rsidRDefault="00267731" w:rsidP="00267731">
      <w:pPr>
        <w:pStyle w:val="Estilo1TituloEstudiodelsector"/>
        <w:numPr>
          <w:ilvl w:val="0"/>
          <w:numId w:val="17"/>
        </w:numPr>
        <w:tabs>
          <w:tab w:val="clear" w:pos="720"/>
          <w:tab w:val="num" w:pos="426"/>
        </w:tabs>
        <w:rPr>
          <w:sz w:val="22"/>
          <w:szCs w:val="22"/>
        </w:rPr>
      </w:pPr>
      <w:r w:rsidRPr="002F5957">
        <w:rPr>
          <w:sz w:val="22"/>
          <w:szCs w:val="22"/>
        </w:rPr>
        <w:t>COMPORTAMIENTO DEL GASTO HISTORICO</w:t>
      </w:r>
    </w:p>
    <w:p w14:paraId="7E93798B" w14:textId="77777777" w:rsidR="00267731" w:rsidRPr="002F5957" w:rsidRDefault="00267731" w:rsidP="00267731">
      <w:pPr>
        <w:pStyle w:val="Estilo1TituloEstudiodelsector"/>
        <w:numPr>
          <w:ilvl w:val="0"/>
          <w:numId w:val="0"/>
        </w:numPr>
        <w:ind w:left="720"/>
        <w:rPr>
          <w:sz w:val="22"/>
          <w:szCs w:val="22"/>
        </w:rPr>
      </w:pPr>
    </w:p>
    <w:p w14:paraId="7AAAD0F7" w14:textId="77777777" w:rsidR="00267731" w:rsidRPr="002F5957" w:rsidRDefault="00267731" w:rsidP="00267731">
      <w:pPr>
        <w:pStyle w:val="Prrafodelista"/>
        <w:numPr>
          <w:ilvl w:val="1"/>
          <w:numId w:val="10"/>
        </w:numPr>
        <w:spacing w:after="0" w:line="240" w:lineRule="auto"/>
        <w:ind w:left="567" w:hanging="567"/>
        <w:rPr>
          <w:rFonts w:ascii="Garamond" w:hAnsi="Garamond" w:cs="Arial"/>
          <w:b/>
          <w:bCs/>
        </w:rPr>
      </w:pPr>
      <w:r w:rsidRPr="002F5957">
        <w:rPr>
          <w:rFonts w:ascii="Garamond" w:hAnsi="Garamond" w:cs="Arial"/>
          <w:b/>
          <w:bCs/>
        </w:rPr>
        <w:t>CONTEXTO ECONÓMICO</w:t>
      </w:r>
    </w:p>
    <w:p w14:paraId="061F7D29" w14:textId="77777777" w:rsidR="00267731" w:rsidRPr="002F5957" w:rsidRDefault="00267731" w:rsidP="00267731">
      <w:pPr>
        <w:pStyle w:val="Prrafodelista"/>
        <w:rPr>
          <w:rFonts w:ascii="Garamond" w:hAnsi="Garamond" w:cs="Arial"/>
          <w:b/>
          <w:bCs/>
        </w:rPr>
      </w:pPr>
    </w:p>
    <w:p w14:paraId="011130E4" w14:textId="77777777" w:rsidR="00267731" w:rsidRPr="002F5957" w:rsidRDefault="00267731" w:rsidP="00267731">
      <w:pPr>
        <w:pStyle w:val="Standard"/>
        <w:ind w:right="49"/>
        <w:jc w:val="both"/>
        <w:rPr>
          <w:rFonts w:ascii="Garamond" w:hAnsi="Garamond" w:cs="Arial"/>
          <w:sz w:val="22"/>
          <w:szCs w:val="22"/>
        </w:rPr>
      </w:pPr>
      <w:r w:rsidRPr="002F5957">
        <w:rPr>
          <w:rFonts w:ascii="Garamond" w:hAnsi="Garamond" w:cs="Arial"/>
          <w:sz w:val="22"/>
          <w:szCs w:val="22"/>
        </w:rPr>
        <w:t>El informe presentado por la OCDE muestra un panorama de recuperación moderada, con riesgos significativos en su sostenibilidad fiscal. En primer lugar, se destaca que el crecimiento se recuperará al 2,5 % este año y al 2,6 % en 2026. Este comportamiento refleja una desaceleración económica derivada de factores internos y externos:</w:t>
      </w:r>
    </w:p>
    <w:p w14:paraId="0B8D47A4" w14:textId="77777777" w:rsidR="00267731" w:rsidRPr="002F5957" w:rsidRDefault="00267731" w:rsidP="00267731">
      <w:pPr>
        <w:pStyle w:val="Standard"/>
        <w:ind w:right="49"/>
        <w:jc w:val="both"/>
        <w:rPr>
          <w:rFonts w:ascii="Garamond" w:hAnsi="Garamond" w:cs="Arial"/>
          <w:sz w:val="22"/>
          <w:szCs w:val="22"/>
        </w:rPr>
      </w:pPr>
    </w:p>
    <w:p w14:paraId="46020385" w14:textId="77777777" w:rsidR="00267731" w:rsidRPr="002F5957" w:rsidRDefault="00267731" w:rsidP="00267731">
      <w:pPr>
        <w:pStyle w:val="Standard"/>
        <w:numPr>
          <w:ilvl w:val="0"/>
          <w:numId w:val="9"/>
        </w:numPr>
        <w:ind w:right="49"/>
        <w:jc w:val="both"/>
        <w:rPr>
          <w:rFonts w:ascii="Garamond" w:hAnsi="Garamond" w:cs="Arial"/>
          <w:sz w:val="22"/>
          <w:szCs w:val="22"/>
        </w:rPr>
      </w:pPr>
      <w:r w:rsidRPr="002F5957">
        <w:rPr>
          <w:rFonts w:ascii="Garamond" w:hAnsi="Garamond" w:cs="Arial"/>
          <w:sz w:val="22"/>
          <w:szCs w:val="22"/>
        </w:rPr>
        <w:t>El enfriamiento de la demanda interna tras el impacto inflacionario de los últimos años.</w:t>
      </w:r>
    </w:p>
    <w:p w14:paraId="564DD959" w14:textId="77777777" w:rsidR="00267731" w:rsidRPr="002F5957" w:rsidRDefault="00267731" w:rsidP="00267731">
      <w:pPr>
        <w:pStyle w:val="Standard"/>
        <w:numPr>
          <w:ilvl w:val="0"/>
          <w:numId w:val="9"/>
        </w:numPr>
        <w:ind w:right="49"/>
        <w:jc w:val="both"/>
        <w:rPr>
          <w:rFonts w:ascii="Garamond" w:hAnsi="Garamond" w:cs="Arial"/>
          <w:sz w:val="22"/>
          <w:szCs w:val="22"/>
        </w:rPr>
      </w:pPr>
      <w:r w:rsidRPr="002F5957">
        <w:rPr>
          <w:rFonts w:ascii="Garamond" w:hAnsi="Garamond" w:cs="Arial"/>
          <w:sz w:val="22"/>
          <w:szCs w:val="22"/>
        </w:rPr>
        <w:lastRenderedPageBreak/>
        <w:t>La inversión incierta, la cual se ve afectada por las restricciones fiscales y la falta de confianza del sector privado</w:t>
      </w:r>
    </w:p>
    <w:p w14:paraId="03980D31" w14:textId="77777777" w:rsidR="00267731" w:rsidRPr="002F5957" w:rsidRDefault="00267731" w:rsidP="00267731">
      <w:pPr>
        <w:pStyle w:val="Standard"/>
        <w:numPr>
          <w:ilvl w:val="0"/>
          <w:numId w:val="9"/>
        </w:numPr>
        <w:ind w:right="49"/>
        <w:jc w:val="both"/>
        <w:rPr>
          <w:rFonts w:ascii="Garamond" w:hAnsi="Garamond" w:cs="Arial"/>
          <w:sz w:val="22"/>
          <w:szCs w:val="22"/>
        </w:rPr>
      </w:pPr>
      <w:r w:rsidRPr="002F5957">
        <w:rPr>
          <w:rFonts w:ascii="Garamond" w:hAnsi="Garamond" w:cs="Arial"/>
          <w:sz w:val="22"/>
          <w:szCs w:val="22"/>
        </w:rPr>
        <w:t>Factores externos como la volatilidad de los precios del petróleo y la desaceleración del comercio global.</w:t>
      </w:r>
    </w:p>
    <w:p w14:paraId="7B3ECCD1" w14:textId="77777777" w:rsidR="00267731" w:rsidRPr="002F5957" w:rsidRDefault="00267731" w:rsidP="00267731">
      <w:pPr>
        <w:pStyle w:val="Standard"/>
        <w:ind w:right="49"/>
        <w:jc w:val="both"/>
        <w:rPr>
          <w:rFonts w:ascii="Garamond" w:hAnsi="Garamond" w:cs="Arial"/>
          <w:sz w:val="22"/>
          <w:szCs w:val="22"/>
        </w:rPr>
      </w:pPr>
    </w:p>
    <w:p w14:paraId="33445AB9" w14:textId="77777777" w:rsidR="00267731" w:rsidRPr="002F5957" w:rsidRDefault="00267731" w:rsidP="00267731">
      <w:pPr>
        <w:pStyle w:val="Standard"/>
        <w:ind w:right="49"/>
        <w:jc w:val="both"/>
        <w:rPr>
          <w:rFonts w:ascii="Garamond" w:hAnsi="Garamond" w:cs="Arial"/>
          <w:sz w:val="22"/>
          <w:szCs w:val="22"/>
        </w:rPr>
      </w:pPr>
      <w:r w:rsidRPr="002F5957">
        <w:rPr>
          <w:rFonts w:ascii="Garamond" w:hAnsi="Garamond" w:cs="Arial"/>
          <w:sz w:val="22"/>
          <w:szCs w:val="22"/>
        </w:rPr>
        <w:t>La inversión continuará su recuperación desde una caída por debajo del 17% del PIB, pero la incertidumbre y una desaceleración del mercado inmobiliario impedirán un retorno completo a la tasa de inversión prepandemia del 21%. La incertidumbre también moderará el consumo privado en 2025. Con un crecimiento cercano al potencial, el desempleo se mantendrá alrededor de su nivel actual.</w:t>
      </w:r>
    </w:p>
    <w:p w14:paraId="60593B27" w14:textId="77777777" w:rsidR="00267731" w:rsidRPr="002F5957" w:rsidRDefault="00267731" w:rsidP="00267731">
      <w:pPr>
        <w:pStyle w:val="Standard"/>
        <w:ind w:right="49"/>
        <w:jc w:val="both"/>
        <w:rPr>
          <w:rFonts w:ascii="Garamond" w:hAnsi="Garamond" w:cs="Arial"/>
          <w:sz w:val="22"/>
          <w:szCs w:val="22"/>
        </w:rPr>
      </w:pPr>
    </w:p>
    <w:p w14:paraId="5A3F401A" w14:textId="77777777" w:rsidR="00267731" w:rsidRPr="002F5957" w:rsidRDefault="00267731" w:rsidP="00267731">
      <w:pPr>
        <w:pStyle w:val="Standard"/>
        <w:ind w:right="49"/>
        <w:jc w:val="both"/>
        <w:rPr>
          <w:rFonts w:ascii="Garamond" w:hAnsi="Garamond" w:cs="Arial"/>
          <w:sz w:val="22"/>
          <w:szCs w:val="22"/>
        </w:rPr>
      </w:pPr>
      <w:r w:rsidRPr="002F5957">
        <w:rPr>
          <w:rFonts w:ascii="Garamond" w:hAnsi="Garamond" w:cs="Arial"/>
          <w:sz w:val="22"/>
          <w:szCs w:val="22"/>
        </w:rPr>
        <w:t>La inflación ha rondado el 5,2 % desde noviembre, aunque la inflación subyacente continuó disminuyendo. Con una trayectoria de desinflación más lenta de lo previsto, las expectativas de inflación para finales de 2025 han aumentado, del 3,9 % en octubre al 4,8 % en mayo.</w:t>
      </w:r>
    </w:p>
    <w:p w14:paraId="478B05BA" w14:textId="77777777" w:rsidR="00267731" w:rsidRPr="002F5957" w:rsidRDefault="00267731" w:rsidP="00267731">
      <w:pPr>
        <w:pStyle w:val="Standard"/>
        <w:ind w:right="49"/>
        <w:jc w:val="both"/>
        <w:rPr>
          <w:rFonts w:ascii="Garamond" w:hAnsi="Garamond" w:cs="Arial"/>
          <w:sz w:val="22"/>
          <w:szCs w:val="22"/>
        </w:rPr>
      </w:pPr>
    </w:p>
    <w:p w14:paraId="3B679A12" w14:textId="77777777" w:rsidR="00267731" w:rsidRPr="002F5957" w:rsidRDefault="00267731" w:rsidP="00267731">
      <w:pPr>
        <w:pStyle w:val="Standard"/>
        <w:ind w:right="49"/>
        <w:jc w:val="both"/>
        <w:rPr>
          <w:rFonts w:ascii="Garamond" w:hAnsi="Garamond" w:cs="Arial"/>
          <w:sz w:val="22"/>
          <w:szCs w:val="22"/>
        </w:rPr>
      </w:pPr>
      <w:r w:rsidRPr="002F5957">
        <w:rPr>
          <w:rFonts w:ascii="Garamond" w:hAnsi="Garamond" w:cs="Arial"/>
          <w:sz w:val="22"/>
          <w:szCs w:val="22"/>
        </w:rPr>
        <w:t>La posición fiscal se ha deteriorado drásticamente en 2024, con un déficit general del 6,8% y un déficit primario del 2,4%. Se proyecta que los déficits se mantengan elevados en el 6% en 2025 y el 5,6% en 2026, con base en los planes de gasto actuales y las estimaciones de ingresos a mediano plazo. El gobierno asume un aumento a corto plazo en los ingresos tributarios del 2,4% del PIB a partir de medidas no identificadas. A menos que haya evidencia de que la recaudación tributaria exceda significativamente su nivel actual, se necesitan recortes de gasto de al menos el 0,9% del PIB para cumplir con la regla fiscal en 2025.</w:t>
      </w:r>
    </w:p>
    <w:p w14:paraId="108E74CA" w14:textId="77777777" w:rsidR="00267731" w:rsidRPr="002F5957" w:rsidRDefault="00267731" w:rsidP="00267731">
      <w:pPr>
        <w:pStyle w:val="Standard"/>
        <w:ind w:right="49"/>
        <w:jc w:val="both"/>
        <w:rPr>
          <w:rFonts w:ascii="Garamond" w:hAnsi="Garamond" w:cs="Arial"/>
          <w:sz w:val="22"/>
          <w:szCs w:val="22"/>
        </w:rPr>
      </w:pPr>
    </w:p>
    <w:p w14:paraId="44233177" w14:textId="77777777" w:rsidR="00267731" w:rsidRPr="002F5957" w:rsidRDefault="00267731" w:rsidP="00267731">
      <w:pPr>
        <w:pStyle w:val="Standard"/>
        <w:ind w:right="49"/>
        <w:jc w:val="both"/>
        <w:rPr>
          <w:rFonts w:ascii="Garamond" w:hAnsi="Garamond" w:cs="Arial"/>
          <w:sz w:val="22"/>
          <w:szCs w:val="22"/>
        </w:rPr>
      </w:pPr>
      <w:r w:rsidRPr="002F5957">
        <w:rPr>
          <w:rFonts w:ascii="Garamond" w:hAnsi="Garamond" w:cs="Arial"/>
          <w:sz w:val="22"/>
          <w:szCs w:val="22"/>
        </w:rPr>
        <w:t>El mercado laboral se mantiene sólido, con una tasa de desempleo del 9,1 % en marzo.  La economía crecerá a tasas moderadas del 2,5% en 2025 y del 2,6% en 2026. La inversión continuará su recuperación desde una caída por debajo del 17% del PIB, pero la incertidumbre y una desaceleración del mercado inmobiliario impedirán un retorno completo a la tasa de inversión prepandemia del 21%.  Los mayores déficits fiscales y el incumplimiento de la regla fiscal incrementarían aún más las primas de riesgo y los ya elevados pagos de intereses soberanos y debilitarían la confianza de los inversores.</w:t>
      </w:r>
    </w:p>
    <w:p w14:paraId="152D7208" w14:textId="77777777" w:rsidR="00267731" w:rsidRPr="002F5957" w:rsidRDefault="00267731" w:rsidP="00267731">
      <w:pPr>
        <w:pStyle w:val="Standard"/>
        <w:ind w:right="49"/>
        <w:jc w:val="both"/>
        <w:rPr>
          <w:rFonts w:ascii="Garamond" w:hAnsi="Garamond" w:cs="Arial"/>
          <w:sz w:val="22"/>
          <w:szCs w:val="22"/>
        </w:rPr>
      </w:pPr>
    </w:p>
    <w:p w14:paraId="0B7C618B" w14:textId="77777777" w:rsidR="00267731" w:rsidRPr="002F5957" w:rsidRDefault="00267731" w:rsidP="00267731">
      <w:pPr>
        <w:pStyle w:val="Standard"/>
        <w:ind w:right="49"/>
        <w:jc w:val="both"/>
        <w:rPr>
          <w:rFonts w:ascii="Garamond" w:hAnsi="Garamond" w:cs="Arial"/>
          <w:sz w:val="22"/>
          <w:szCs w:val="22"/>
        </w:rPr>
      </w:pPr>
      <w:r w:rsidRPr="002F5957">
        <w:rPr>
          <w:rFonts w:ascii="Garamond" w:hAnsi="Garamond" w:cs="Arial"/>
          <w:sz w:val="22"/>
          <w:szCs w:val="22"/>
        </w:rPr>
        <w:t xml:space="preserve">La incertidumbre también moderará el consumo privado en 2025. Con un crecimiento cercano al potencial, el desempleo se mantendrá alrededor de su nivel actual. El crecimiento de las importaciones seguirá siendo fuerte, impulsado por los bienes de inversión, pero las exportaciones se moderarán, dada la alta exposición a Estados Unidos y la desaceleración económica mundial. </w:t>
      </w:r>
    </w:p>
    <w:p w14:paraId="3DB6D3A9" w14:textId="77777777" w:rsidR="00267731" w:rsidRPr="002F5957" w:rsidRDefault="00267731" w:rsidP="00267731">
      <w:pPr>
        <w:pStyle w:val="Standard"/>
        <w:ind w:right="49"/>
        <w:jc w:val="both"/>
        <w:rPr>
          <w:rFonts w:ascii="Garamond" w:hAnsi="Garamond" w:cs="Arial"/>
          <w:sz w:val="22"/>
          <w:szCs w:val="22"/>
        </w:rPr>
      </w:pPr>
    </w:p>
    <w:p w14:paraId="29E2BCC8" w14:textId="77777777" w:rsidR="00267731" w:rsidRPr="002F5957" w:rsidRDefault="00267731" w:rsidP="00267731">
      <w:pPr>
        <w:pStyle w:val="Standard"/>
        <w:ind w:right="49"/>
        <w:jc w:val="both"/>
        <w:rPr>
          <w:rFonts w:ascii="Garamond" w:hAnsi="Garamond" w:cs="Arial"/>
          <w:sz w:val="22"/>
          <w:szCs w:val="22"/>
        </w:rPr>
      </w:pPr>
      <w:r w:rsidRPr="002F5957">
        <w:rPr>
          <w:rFonts w:ascii="Garamond" w:hAnsi="Garamond" w:cs="Arial"/>
          <w:sz w:val="22"/>
          <w:szCs w:val="22"/>
        </w:rPr>
        <w:t>Finalmente, las proyecciones a mediano plazo indican que la economía colombiana podría enfrentar un escenario de estabilización macroeconómica con retos significativos e importantes en el cumplimiento de las metas fiscales, la recuperación del mercado laboral y la reactivación económica. La combinación de políticas monetarias y fiscales efectivas serán la clave para asegurar un crecimiento sostenible en los próximos años.</w:t>
      </w:r>
      <w:r w:rsidRPr="002F5957">
        <w:rPr>
          <w:rStyle w:val="Refdenotaalpie"/>
          <w:rFonts w:ascii="Garamond" w:hAnsi="Garamond" w:cs="Arial"/>
          <w:sz w:val="22"/>
          <w:szCs w:val="22"/>
        </w:rPr>
        <w:footnoteReference w:id="1"/>
      </w:r>
    </w:p>
    <w:p w14:paraId="7A711BF2" w14:textId="77777777" w:rsidR="00267731" w:rsidRPr="002F5957" w:rsidRDefault="00267731" w:rsidP="00267731">
      <w:pPr>
        <w:spacing w:after="160" w:line="259" w:lineRule="auto"/>
        <w:ind w:right="49"/>
        <w:rPr>
          <w:rFonts w:ascii="Garamond" w:hAnsi="Garamond" w:cs="Arial"/>
          <w:kern w:val="3"/>
          <w:sz w:val="22"/>
          <w:szCs w:val="22"/>
          <w:lang w:eastAsia="zh-CN"/>
        </w:rPr>
      </w:pPr>
    </w:p>
    <w:p w14:paraId="604A0434" w14:textId="77777777" w:rsidR="00267731" w:rsidRPr="002F5957" w:rsidRDefault="00267731" w:rsidP="00267731">
      <w:pPr>
        <w:pStyle w:val="Prrafodelista"/>
        <w:numPr>
          <w:ilvl w:val="1"/>
          <w:numId w:val="10"/>
        </w:numPr>
        <w:spacing w:after="0" w:line="240" w:lineRule="auto"/>
        <w:rPr>
          <w:rFonts w:ascii="Garamond" w:hAnsi="Garamond" w:cs="Arial"/>
          <w:b/>
          <w:bCs/>
        </w:rPr>
      </w:pPr>
      <w:r w:rsidRPr="002F5957">
        <w:rPr>
          <w:rFonts w:ascii="Garamond" w:hAnsi="Garamond" w:cs="Arial"/>
          <w:b/>
          <w:bCs/>
        </w:rPr>
        <w:t>ÍNDICE DE PRECIOS AL CONSUMIDOR (IPC)</w:t>
      </w:r>
    </w:p>
    <w:p w14:paraId="1290314F" w14:textId="77777777" w:rsidR="00267731" w:rsidRPr="002F5957" w:rsidRDefault="00267731" w:rsidP="00267731">
      <w:pPr>
        <w:tabs>
          <w:tab w:val="left" w:pos="142"/>
          <w:tab w:val="left" w:pos="567"/>
          <w:tab w:val="left" w:pos="8789"/>
        </w:tabs>
        <w:ind w:right="49"/>
        <w:contextualSpacing/>
        <w:rPr>
          <w:rFonts w:ascii="Garamond" w:eastAsia="Calibri" w:hAnsi="Garamond" w:cs="Arial"/>
          <w:b/>
          <w:bCs/>
          <w:sz w:val="22"/>
          <w:szCs w:val="22"/>
        </w:rPr>
      </w:pPr>
    </w:p>
    <w:p w14:paraId="40C06530" w14:textId="77777777" w:rsidR="00267731" w:rsidRPr="002F5957" w:rsidRDefault="00267731" w:rsidP="00267731">
      <w:pPr>
        <w:tabs>
          <w:tab w:val="left" w:pos="142"/>
          <w:tab w:val="left" w:pos="567"/>
          <w:tab w:val="left" w:pos="8789"/>
        </w:tabs>
        <w:ind w:right="49"/>
        <w:contextualSpacing/>
        <w:jc w:val="both"/>
        <w:rPr>
          <w:rFonts w:ascii="Garamond" w:eastAsia="Garamond" w:hAnsi="Garamond" w:cs="Garamond"/>
          <w:color w:val="000000" w:themeColor="text1"/>
          <w:sz w:val="22"/>
          <w:szCs w:val="22"/>
        </w:rPr>
      </w:pPr>
      <w:r w:rsidRPr="002F5957">
        <w:rPr>
          <w:rFonts w:ascii="Garamond" w:eastAsia="Garamond" w:hAnsi="Garamond" w:cs="Garamond"/>
          <w:color w:val="000000" w:themeColor="text1"/>
          <w:sz w:val="22"/>
          <w:szCs w:val="22"/>
        </w:rPr>
        <w:lastRenderedPageBreak/>
        <w:t xml:space="preserve">En mayo de 2026 la variación mensual del Índice de Precios al Consumidor (IPC) fue de </w:t>
      </w:r>
      <w:r w:rsidRPr="002F5957">
        <w:rPr>
          <w:rFonts w:ascii="Garamond" w:eastAsia="Garamond" w:hAnsi="Garamond" w:cs="Garamond"/>
          <w:b/>
          <w:bCs/>
          <w:color w:val="000000" w:themeColor="text1"/>
          <w:sz w:val="22"/>
          <w:szCs w:val="22"/>
        </w:rPr>
        <w:t>0,47%</w:t>
      </w:r>
      <w:r w:rsidRPr="002F5957">
        <w:rPr>
          <w:rFonts w:ascii="Garamond" w:eastAsia="Garamond" w:hAnsi="Garamond" w:cs="Garamond"/>
          <w:color w:val="000000" w:themeColor="text1"/>
          <w:sz w:val="22"/>
          <w:szCs w:val="22"/>
        </w:rPr>
        <w:t xml:space="preserve">, en comparación con mayo de 2025, cuando la variación mensual fue de </w:t>
      </w:r>
      <w:r w:rsidRPr="002F5957">
        <w:rPr>
          <w:rFonts w:ascii="Garamond" w:eastAsia="Garamond" w:hAnsi="Garamond" w:cs="Garamond"/>
          <w:b/>
          <w:bCs/>
          <w:color w:val="000000" w:themeColor="text1"/>
          <w:sz w:val="22"/>
          <w:szCs w:val="22"/>
        </w:rPr>
        <w:t>0,32%</w:t>
      </w:r>
      <w:r w:rsidRPr="002F5957">
        <w:rPr>
          <w:rFonts w:ascii="Garamond" w:eastAsia="Garamond" w:hAnsi="Garamond" w:cs="Garamond"/>
          <w:color w:val="000000" w:themeColor="text1"/>
          <w:sz w:val="22"/>
          <w:szCs w:val="22"/>
        </w:rPr>
        <w:t xml:space="preserve">. Por su parte, la variación anual del IPC se ubicó en </w:t>
      </w:r>
      <w:r w:rsidRPr="002F5957">
        <w:rPr>
          <w:rFonts w:ascii="Garamond" w:eastAsia="Garamond" w:hAnsi="Garamond" w:cs="Garamond"/>
          <w:b/>
          <w:bCs/>
          <w:color w:val="000000" w:themeColor="text1"/>
          <w:sz w:val="22"/>
          <w:szCs w:val="22"/>
        </w:rPr>
        <w:t>5,84%</w:t>
      </w:r>
      <w:r w:rsidRPr="002F5957">
        <w:rPr>
          <w:rFonts w:ascii="Garamond" w:eastAsia="Garamond" w:hAnsi="Garamond" w:cs="Garamond"/>
          <w:color w:val="000000" w:themeColor="text1"/>
          <w:sz w:val="22"/>
          <w:szCs w:val="22"/>
        </w:rPr>
        <w:t xml:space="preserve">, superior a la registrada en el mismo periodo del año anterior, que fue de </w:t>
      </w:r>
      <w:r w:rsidRPr="002F5957">
        <w:rPr>
          <w:rFonts w:ascii="Garamond" w:eastAsia="Garamond" w:hAnsi="Garamond" w:cs="Garamond"/>
          <w:b/>
          <w:bCs/>
          <w:color w:val="000000" w:themeColor="text1"/>
          <w:sz w:val="22"/>
          <w:szCs w:val="22"/>
        </w:rPr>
        <w:t>5,05%</w:t>
      </w:r>
      <w:r w:rsidRPr="002F5957">
        <w:rPr>
          <w:rFonts w:ascii="Garamond" w:eastAsia="Garamond" w:hAnsi="Garamond" w:cs="Garamond"/>
          <w:color w:val="000000" w:themeColor="text1"/>
          <w:sz w:val="22"/>
          <w:szCs w:val="22"/>
        </w:rPr>
        <w:t>.</w:t>
      </w:r>
    </w:p>
    <w:p w14:paraId="2FF6B2D6" w14:textId="77777777" w:rsidR="00267731" w:rsidRPr="002F5957" w:rsidRDefault="00267731" w:rsidP="00267731">
      <w:pPr>
        <w:tabs>
          <w:tab w:val="left" w:pos="142"/>
          <w:tab w:val="left" w:pos="567"/>
          <w:tab w:val="left" w:pos="8789"/>
        </w:tabs>
        <w:ind w:right="49"/>
        <w:contextualSpacing/>
        <w:jc w:val="both"/>
        <w:rPr>
          <w:rFonts w:ascii="Garamond" w:eastAsia="Garamond" w:hAnsi="Garamond" w:cs="Garamond"/>
          <w:color w:val="000000" w:themeColor="text1"/>
          <w:sz w:val="22"/>
          <w:szCs w:val="22"/>
        </w:rPr>
      </w:pPr>
    </w:p>
    <w:p w14:paraId="263791C3" w14:textId="77777777" w:rsidR="00267731" w:rsidRPr="002F5957" w:rsidRDefault="00267731" w:rsidP="00267731">
      <w:pPr>
        <w:tabs>
          <w:tab w:val="left" w:pos="142"/>
          <w:tab w:val="left" w:pos="567"/>
          <w:tab w:val="left" w:pos="8789"/>
        </w:tabs>
        <w:ind w:right="49"/>
        <w:contextualSpacing/>
        <w:jc w:val="both"/>
        <w:rPr>
          <w:rFonts w:ascii="Garamond" w:eastAsia="Garamond" w:hAnsi="Garamond" w:cs="Garamond"/>
          <w:color w:val="000000" w:themeColor="text1"/>
          <w:sz w:val="22"/>
          <w:szCs w:val="22"/>
        </w:rPr>
      </w:pPr>
      <w:r w:rsidRPr="002F5957">
        <w:rPr>
          <w:rFonts w:ascii="Garamond" w:eastAsia="Garamond" w:hAnsi="Garamond" w:cs="Garamond"/>
          <w:color w:val="000000" w:themeColor="text1"/>
          <w:sz w:val="22"/>
          <w:szCs w:val="22"/>
        </w:rPr>
        <w:t xml:space="preserve">En mayo de 2026 la variación anual del IPC fue de </w:t>
      </w:r>
      <w:r w:rsidRPr="002F5957">
        <w:rPr>
          <w:rFonts w:ascii="Garamond" w:eastAsia="Garamond" w:hAnsi="Garamond" w:cs="Garamond"/>
          <w:b/>
          <w:bCs/>
          <w:color w:val="000000" w:themeColor="text1"/>
          <w:sz w:val="22"/>
          <w:szCs w:val="22"/>
        </w:rPr>
        <w:t>5,84%</w:t>
      </w:r>
      <w:r w:rsidRPr="002F5957">
        <w:rPr>
          <w:rFonts w:ascii="Garamond" w:eastAsia="Garamond" w:hAnsi="Garamond" w:cs="Garamond"/>
          <w:color w:val="000000" w:themeColor="text1"/>
          <w:sz w:val="22"/>
          <w:szCs w:val="22"/>
        </w:rPr>
        <w:t xml:space="preserve">, lo que representa un incremento de </w:t>
      </w:r>
      <w:r w:rsidRPr="002F5957">
        <w:rPr>
          <w:rFonts w:ascii="Garamond" w:eastAsia="Garamond" w:hAnsi="Garamond" w:cs="Garamond"/>
          <w:b/>
          <w:bCs/>
          <w:color w:val="000000" w:themeColor="text1"/>
          <w:sz w:val="22"/>
          <w:szCs w:val="22"/>
        </w:rPr>
        <w:t>0,79 puntos porcentuales</w:t>
      </w:r>
      <w:r w:rsidRPr="002F5957">
        <w:rPr>
          <w:rFonts w:ascii="Garamond" w:eastAsia="Garamond" w:hAnsi="Garamond" w:cs="Garamond"/>
          <w:color w:val="000000" w:themeColor="text1"/>
          <w:sz w:val="22"/>
          <w:szCs w:val="22"/>
        </w:rPr>
        <w:t xml:space="preserve"> frente a la reportada en mayo de 2025 (</w:t>
      </w:r>
      <w:r w:rsidRPr="002F5957">
        <w:rPr>
          <w:rFonts w:ascii="Garamond" w:eastAsia="Garamond" w:hAnsi="Garamond" w:cs="Garamond"/>
          <w:b/>
          <w:bCs/>
          <w:color w:val="000000" w:themeColor="text1"/>
          <w:sz w:val="22"/>
          <w:szCs w:val="22"/>
        </w:rPr>
        <w:t>5,05%</w:t>
      </w:r>
      <w:r w:rsidRPr="002F5957">
        <w:rPr>
          <w:rFonts w:ascii="Garamond" w:eastAsia="Garamond" w:hAnsi="Garamond" w:cs="Garamond"/>
          <w:color w:val="000000" w:themeColor="text1"/>
          <w:sz w:val="22"/>
          <w:szCs w:val="22"/>
        </w:rPr>
        <w:t>).</w:t>
      </w:r>
    </w:p>
    <w:p w14:paraId="3CDFAD66" w14:textId="77777777" w:rsidR="00267731" w:rsidRPr="002F5957" w:rsidRDefault="00267731" w:rsidP="00267731">
      <w:pPr>
        <w:tabs>
          <w:tab w:val="left" w:pos="142"/>
          <w:tab w:val="left" w:pos="567"/>
          <w:tab w:val="left" w:pos="8789"/>
        </w:tabs>
        <w:ind w:right="49"/>
        <w:contextualSpacing/>
        <w:jc w:val="both"/>
        <w:rPr>
          <w:rFonts w:ascii="Garamond" w:eastAsia="Garamond" w:hAnsi="Garamond" w:cs="Garamond"/>
          <w:color w:val="000000" w:themeColor="text1"/>
          <w:sz w:val="22"/>
          <w:szCs w:val="22"/>
        </w:rPr>
      </w:pPr>
    </w:p>
    <w:p w14:paraId="6C0BE770" w14:textId="77777777" w:rsidR="00267731" w:rsidRPr="002F5957" w:rsidRDefault="00267731" w:rsidP="00267731">
      <w:pPr>
        <w:tabs>
          <w:tab w:val="left" w:pos="142"/>
          <w:tab w:val="left" w:pos="567"/>
          <w:tab w:val="left" w:pos="8789"/>
        </w:tabs>
        <w:ind w:right="49"/>
        <w:contextualSpacing/>
        <w:jc w:val="both"/>
        <w:rPr>
          <w:rFonts w:ascii="Garamond" w:eastAsia="Garamond" w:hAnsi="Garamond" w:cs="Garamond"/>
          <w:color w:val="000000" w:themeColor="text1"/>
          <w:sz w:val="22"/>
          <w:szCs w:val="22"/>
        </w:rPr>
      </w:pPr>
      <w:r w:rsidRPr="002F5957">
        <w:rPr>
          <w:rFonts w:ascii="Garamond" w:eastAsia="Garamond" w:hAnsi="Garamond" w:cs="Garamond"/>
          <w:color w:val="000000" w:themeColor="text1"/>
          <w:sz w:val="22"/>
          <w:szCs w:val="22"/>
        </w:rPr>
        <w:t xml:space="preserve">El comportamiento del IPC total en mayo de 2026 estuvo reflejado en una variación mensual de </w:t>
      </w:r>
      <w:r w:rsidRPr="002F5957">
        <w:rPr>
          <w:rFonts w:ascii="Garamond" w:eastAsia="Garamond" w:hAnsi="Garamond" w:cs="Garamond"/>
          <w:b/>
          <w:bCs/>
          <w:color w:val="000000" w:themeColor="text1"/>
          <w:sz w:val="22"/>
          <w:szCs w:val="22"/>
        </w:rPr>
        <w:t>0,47%</w:t>
      </w:r>
      <w:r w:rsidRPr="002F5957">
        <w:rPr>
          <w:rFonts w:ascii="Garamond" w:eastAsia="Garamond" w:hAnsi="Garamond" w:cs="Garamond"/>
          <w:color w:val="000000" w:themeColor="text1"/>
          <w:sz w:val="22"/>
          <w:szCs w:val="22"/>
        </w:rPr>
        <w:t>, evidenciando un aumento frente al mismo mes del año anterior (</w:t>
      </w:r>
      <w:r w:rsidRPr="002F5957">
        <w:rPr>
          <w:rFonts w:ascii="Garamond" w:eastAsia="Garamond" w:hAnsi="Garamond" w:cs="Garamond"/>
          <w:b/>
          <w:bCs/>
          <w:color w:val="000000" w:themeColor="text1"/>
          <w:sz w:val="22"/>
          <w:szCs w:val="22"/>
        </w:rPr>
        <w:t>0,32%</w:t>
      </w:r>
      <w:r w:rsidRPr="002F5957">
        <w:rPr>
          <w:rFonts w:ascii="Garamond" w:eastAsia="Garamond" w:hAnsi="Garamond" w:cs="Garamond"/>
          <w:color w:val="000000" w:themeColor="text1"/>
          <w:sz w:val="22"/>
          <w:szCs w:val="22"/>
        </w:rPr>
        <w:t xml:space="preserve">). Asimismo, la variación acumulada en lo corrido del año fue de </w:t>
      </w:r>
      <w:r w:rsidRPr="002F5957">
        <w:rPr>
          <w:rFonts w:ascii="Garamond" w:eastAsia="Garamond" w:hAnsi="Garamond" w:cs="Garamond"/>
          <w:b/>
          <w:bCs/>
          <w:color w:val="000000" w:themeColor="text1"/>
          <w:sz w:val="22"/>
          <w:szCs w:val="22"/>
        </w:rPr>
        <w:t>4,36%</w:t>
      </w:r>
      <w:r w:rsidRPr="002F5957">
        <w:rPr>
          <w:rFonts w:ascii="Garamond" w:eastAsia="Garamond" w:hAnsi="Garamond" w:cs="Garamond"/>
          <w:color w:val="000000" w:themeColor="text1"/>
          <w:sz w:val="22"/>
          <w:szCs w:val="22"/>
        </w:rPr>
        <w:t>, superior a la registrada en mayo de 2025 (</w:t>
      </w:r>
      <w:r w:rsidRPr="002F5957">
        <w:rPr>
          <w:rFonts w:ascii="Garamond" w:eastAsia="Garamond" w:hAnsi="Garamond" w:cs="Garamond"/>
          <w:b/>
          <w:bCs/>
          <w:color w:val="000000" w:themeColor="text1"/>
          <w:sz w:val="22"/>
          <w:szCs w:val="22"/>
        </w:rPr>
        <w:t>3,63%</w:t>
      </w:r>
      <w:r w:rsidRPr="002F5957">
        <w:rPr>
          <w:rFonts w:ascii="Garamond" w:eastAsia="Garamond" w:hAnsi="Garamond" w:cs="Garamond"/>
          <w:color w:val="000000" w:themeColor="text1"/>
          <w:sz w:val="22"/>
          <w:szCs w:val="22"/>
        </w:rPr>
        <w:t>), de acuerdo con la información reportada por el DANE.</w:t>
      </w:r>
    </w:p>
    <w:p w14:paraId="1FBA952C" w14:textId="77777777" w:rsidR="00267731" w:rsidRPr="002F5957" w:rsidRDefault="00267731" w:rsidP="00267731">
      <w:pPr>
        <w:tabs>
          <w:tab w:val="left" w:pos="142"/>
          <w:tab w:val="left" w:pos="567"/>
          <w:tab w:val="left" w:pos="8789"/>
        </w:tabs>
        <w:ind w:right="49"/>
        <w:contextualSpacing/>
        <w:jc w:val="both"/>
        <w:rPr>
          <w:rFonts w:ascii="Garamond" w:eastAsia="Garamond" w:hAnsi="Garamond" w:cs="Garamond"/>
          <w:color w:val="000000" w:themeColor="text1"/>
          <w:sz w:val="22"/>
          <w:szCs w:val="22"/>
        </w:rPr>
      </w:pPr>
      <w:r w:rsidRPr="002F5957">
        <w:rPr>
          <w:rFonts w:ascii="Garamond" w:eastAsia="Garamond" w:hAnsi="Garamond" w:cs="Garamond"/>
          <w:color w:val="000000" w:themeColor="text1"/>
          <w:sz w:val="22"/>
          <w:szCs w:val="22"/>
        </w:rPr>
        <w:t>.</w:t>
      </w:r>
    </w:p>
    <w:p w14:paraId="53F97899" w14:textId="77777777" w:rsidR="00267731" w:rsidRPr="002F5957" w:rsidRDefault="00267731" w:rsidP="00267731">
      <w:pPr>
        <w:tabs>
          <w:tab w:val="left" w:pos="142"/>
          <w:tab w:val="left" w:pos="567"/>
          <w:tab w:val="left" w:pos="8789"/>
        </w:tabs>
        <w:ind w:right="49"/>
        <w:contextualSpacing/>
        <w:jc w:val="center"/>
        <w:rPr>
          <w:rFonts w:ascii="Garamond" w:eastAsia="Calibri" w:hAnsi="Garamond" w:cs="Arial"/>
          <w:sz w:val="22"/>
          <w:szCs w:val="22"/>
        </w:rPr>
      </w:pPr>
      <w:r w:rsidRPr="002F5957">
        <w:rPr>
          <w:rFonts w:ascii="Garamond" w:eastAsia="Calibri" w:hAnsi="Garamond" w:cs="Arial"/>
          <w:noProof/>
          <w:sz w:val="22"/>
          <w:szCs w:val="22"/>
        </w:rPr>
        <w:drawing>
          <wp:inline distT="0" distB="0" distL="0" distR="0" wp14:anchorId="3A76C88C" wp14:editId="79F87354">
            <wp:extent cx="3949760" cy="2654300"/>
            <wp:effectExtent l="0" t="0" r="0" b="0"/>
            <wp:docPr id="16743277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27781" name=""/>
                    <pic:cNvPicPr/>
                  </pic:nvPicPr>
                  <pic:blipFill>
                    <a:blip r:embed="rId11"/>
                    <a:stretch>
                      <a:fillRect/>
                    </a:stretch>
                  </pic:blipFill>
                  <pic:spPr>
                    <a:xfrm>
                      <a:off x="0" y="0"/>
                      <a:ext cx="3956623" cy="2658912"/>
                    </a:xfrm>
                    <a:prstGeom prst="rect">
                      <a:avLst/>
                    </a:prstGeom>
                  </pic:spPr>
                </pic:pic>
              </a:graphicData>
            </a:graphic>
          </wp:inline>
        </w:drawing>
      </w:r>
    </w:p>
    <w:p w14:paraId="24946797" w14:textId="77777777" w:rsidR="00267731" w:rsidRPr="002F5957" w:rsidRDefault="00267731" w:rsidP="00267731">
      <w:pPr>
        <w:tabs>
          <w:tab w:val="left" w:pos="142"/>
          <w:tab w:val="left" w:pos="567"/>
          <w:tab w:val="left" w:pos="8789"/>
        </w:tabs>
        <w:ind w:right="49"/>
        <w:contextualSpacing/>
        <w:jc w:val="center"/>
        <w:rPr>
          <w:rFonts w:ascii="Garamond" w:hAnsi="Garamond"/>
          <w:sz w:val="22"/>
          <w:szCs w:val="22"/>
        </w:rPr>
      </w:pPr>
      <w:r w:rsidRPr="002F5957">
        <w:rPr>
          <w:rFonts w:ascii="Garamond" w:hAnsi="Garamond"/>
          <w:sz w:val="22"/>
          <w:szCs w:val="22"/>
        </w:rPr>
        <w:t xml:space="preserve">Fuente: DANE </w:t>
      </w:r>
      <w:r w:rsidRPr="002F5957">
        <w:rPr>
          <w:rFonts w:ascii="Garamond" w:eastAsia="Garamond" w:hAnsi="Garamond" w:cs="Garamond"/>
          <w:sz w:val="22"/>
          <w:szCs w:val="22"/>
        </w:rPr>
        <w:t>–</w:t>
      </w:r>
      <w:r w:rsidRPr="002F5957">
        <w:rPr>
          <w:rFonts w:ascii="Garamond" w:hAnsi="Garamond"/>
          <w:sz w:val="22"/>
          <w:szCs w:val="22"/>
        </w:rPr>
        <w:t xml:space="preserve"> Boletín técnico Índice de Precios al Consumidor (IPC) Mayo 2026</w:t>
      </w:r>
      <w:r w:rsidRPr="002F5957">
        <w:rPr>
          <w:rStyle w:val="Refdenotaalpie"/>
          <w:rFonts w:ascii="Garamond" w:hAnsi="Garamond"/>
          <w:sz w:val="22"/>
          <w:szCs w:val="22"/>
        </w:rPr>
        <w:footnoteReference w:id="2"/>
      </w:r>
    </w:p>
    <w:p w14:paraId="6C56D5CF" w14:textId="77777777" w:rsidR="00267731" w:rsidRPr="002F5957" w:rsidRDefault="00267731" w:rsidP="00267731">
      <w:pPr>
        <w:tabs>
          <w:tab w:val="left" w:pos="142"/>
          <w:tab w:val="left" w:pos="567"/>
          <w:tab w:val="left" w:pos="8789"/>
        </w:tabs>
        <w:ind w:right="49"/>
        <w:contextualSpacing/>
        <w:jc w:val="center"/>
        <w:rPr>
          <w:rFonts w:ascii="Garamond" w:eastAsia="Calibri" w:hAnsi="Garamond" w:cs="Arial"/>
          <w:sz w:val="22"/>
          <w:szCs w:val="22"/>
        </w:rPr>
      </w:pPr>
    </w:p>
    <w:p w14:paraId="5A554AC0" w14:textId="77777777" w:rsidR="00267731" w:rsidRPr="002F5957" w:rsidRDefault="00267731" w:rsidP="00267731">
      <w:pPr>
        <w:tabs>
          <w:tab w:val="left" w:pos="142"/>
          <w:tab w:val="left" w:pos="567"/>
          <w:tab w:val="left" w:pos="8789"/>
        </w:tabs>
        <w:ind w:right="49"/>
        <w:contextualSpacing/>
        <w:rPr>
          <w:rFonts w:ascii="Garamond" w:eastAsia="Calibri" w:hAnsi="Garamond" w:cs="Arial"/>
          <w:sz w:val="22"/>
          <w:szCs w:val="22"/>
        </w:rPr>
      </w:pPr>
    </w:p>
    <w:p w14:paraId="15219EF7" w14:textId="77777777" w:rsidR="00267731" w:rsidRPr="002F5957" w:rsidRDefault="00267731" w:rsidP="00267731">
      <w:pPr>
        <w:tabs>
          <w:tab w:val="left" w:pos="142"/>
          <w:tab w:val="left" w:pos="567"/>
          <w:tab w:val="left" w:pos="8789"/>
        </w:tabs>
        <w:ind w:right="49"/>
        <w:contextualSpacing/>
        <w:rPr>
          <w:rFonts w:ascii="Garamond" w:eastAsia="Calibri" w:hAnsi="Garamond" w:cs="Arial"/>
          <w:sz w:val="22"/>
          <w:szCs w:val="22"/>
        </w:rPr>
      </w:pPr>
    </w:p>
    <w:p w14:paraId="45DC1CD5" w14:textId="77777777" w:rsidR="00267731" w:rsidRPr="002F5957" w:rsidRDefault="00267731" w:rsidP="00267731">
      <w:pPr>
        <w:tabs>
          <w:tab w:val="left" w:pos="142"/>
          <w:tab w:val="left" w:pos="567"/>
          <w:tab w:val="left" w:pos="8789"/>
        </w:tabs>
        <w:ind w:right="49"/>
        <w:contextualSpacing/>
        <w:rPr>
          <w:rFonts w:ascii="Garamond" w:eastAsia="Calibri" w:hAnsi="Garamond" w:cs="Arial"/>
          <w:sz w:val="22"/>
          <w:szCs w:val="22"/>
        </w:rPr>
      </w:pPr>
      <w:r w:rsidRPr="002F5957">
        <w:rPr>
          <w:rFonts w:ascii="Garamond" w:eastAsia="Calibri" w:hAnsi="Garamond" w:cs="Arial"/>
          <w:noProof/>
          <w:sz w:val="22"/>
          <w:szCs w:val="22"/>
        </w:rPr>
        <w:lastRenderedPageBreak/>
        <w:drawing>
          <wp:inline distT="0" distB="0" distL="0" distR="0" wp14:anchorId="4B6D60DD" wp14:editId="3E29E829">
            <wp:extent cx="5579745" cy="1990090"/>
            <wp:effectExtent l="0" t="0" r="1905" b="0"/>
            <wp:docPr id="14279015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01517" name=""/>
                    <pic:cNvPicPr/>
                  </pic:nvPicPr>
                  <pic:blipFill>
                    <a:blip r:embed="rId12"/>
                    <a:stretch>
                      <a:fillRect/>
                    </a:stretch>
                  </pic:blipFill>
                  <pic:spPr>
                    <a:xfrm>
                      <a:off x="0" y="0"/>
                      <a:ext cx="5579745" cy="1990090"/>
                    </a:xfrm>
                    <a:prstGeom prst="rect">
                      <a:avLst/>
                    </a:prstGeom>
                  </pic:spPr>
                </pic:pic>
              </a:graphicData>
            </a:graphic>
          </wp:inline>
        </w:drawing>
      </w:r>
    </w:p>
    <w:p w14:paraId="284AEC93" w14:textId="77777777" w:rsidR="00267731" w:rsidRPr="002F5957" w:rsidRDefault="00267731" w:rsidP="00267731">
      <w:pPr>
        <w:tabs>
          <w:tab w:val="left" w:pos="142"/>
          <w:tab w:val="left" w:pos="567"/>
          <w:tab w:val="left" w:pos="8789"/>
        </w:tabs>
        <w:ind w:right="49"/>
        <w:contextualSpacing/>
        <w:jc w:val="center"/>
        <w:rPr>
          <w:rFonts w:ascii="Garamond" w:hAnsi="Garamond"/>
          <w:sz w:val="22"/>
          <w:szCs w:val="22"/>
        </w:rPr>
      </w:pPr>
      <w:r w:rsidRPr="002F5957">
        <w:rPr>
          <w:rFonts w:ascii="Garamond" w:hAnsi="Garamond"/>
          <w:sz w:val="22"/>
          <w:szCs w:val="22"/>
        </w:rPr>
        <w:t xml:space="preserve">Fuente: DANE </w:t>
      </w:r>
      <w:r w:rsidRPr="002F5957">
        <w:rPr>
          <w:rFonts w:ascii="Garamond" w:eastAsia="Garamond" w:hAnsi="Garamond" w:cs="Garamond"/>
          <w:sz w:val="22"/>
          <w:szCs w:val="22"/>
        </w:rPr>
        <w:t>–</w:t>
      </w:r>
      <w:r w:rsidRPr="002F5957">
        <w:rPr>
          <w:rFonts w:ascii="Garamond" w:hAnsi="Garamond"/>
          <w:sz w:val="22"/>
          <w:szCs w:val="22"/>
        </w:rPr>
        <w:t xml:space="preserve"> Boletín técnico Índice de Precios al Consumidor (IPC) mayo 2026</w:t>
      </w:r>
      <w:r w:rsidRPr="002F5957">
        <w:rPr>
          <w:rStyle w:val="Refdenotaalpie"/>
          <w:rFonts w:ascii="Garamond" w:hAnsi="Garamond"/>
          <w:sz w:val="22"/>
          <w:szCs w:val="22"/>
        </w:rPr>
        <w:footnoteReference w:id="3"/>
      </w:r>
    </w:p>
    <w:p w14:paraId="5D628B08" w14:textId="77777777" w:rsidR="00267731" w:rsidRPr="002F5957" w:rsidRDefault="00267731" w:rsidP="00267731">
      <w:pPr>
        <w:tabs>
          <w:tab w:val="left" w:pos="142"/>
          <w:tab w:val="left" w:pos="567"/>
          <w:tab w:val="left" w:pos="8789"/>
        </w:tabs>
        <w:ind w:right="49"/>
        <w:contextualSpacing/>
        <w:jc w:val="center"/>
        <w:rPr>
          <w:rFonts w:ascii="Garamond" w:hAnsi="Garamond"/>
          <w:sz w:val="22"/>
          <w:szCs w:val="22"/>
        </w:rPr>
      </w:pPr>
    </w:p>
    <w:p w14:paraId="287CA4A0" w14:textId="77777777" w:rsidR="00267731" w:rsidRPr="002F5957" w:rsidRDefault="00267731" w:rsidP="00267731">
      <w:pPr>
        <w:pStyle w:val="Prrafodelista"/>
        <w:numPr>
          <w:ilvl w:val="1"/>
          <w:numId w:val="10"/>
        </w:numPr>
        <w:tabs>
          <w:tab w:val="left" w:pos="142"/>
          <w:tab w:val="left" w:pos="567"/>
          <w:tab w:val="left" w:pos="8789"/>
        </w:tabs>
        <w:spacing w:after="0" w:line="240" w:lineRule="auto"/>
        <w:ind w:right="49"/>
        <w:jc w:val="both"/>
        <w:rPr>
          <w:rFonts w:ascii="Garamond" w:hAnsi="Garamond" w:cs="Arial"/>
          <w:b/>
          <w:bCs/>
        </w:rPr>
      </w:pPr>
      <w:r w:rsidRPr="002F5957">
        <w:rPr>
          <w:rFonts w:ascii="Garamond" w:hAnsi="Garamond" w:cs="Arial"/>
          <w:b/>
          <w:bCs/>
        </w:rPr>
        <w:t xml:space="preserve">VARIACIÓN </w:t>
      </w:r>
      <w:r w:rsidRPr="002F5957">
        <w:rPr>
          <w:rFonts w:ascii="Garamond" w:eastAsia="Garamond" w:hAnsi="Garamond" w:cs="Garamond"/>
          <w:b/>
          <w:bCs/>
          <w:color w:val="000000" w:themeColor="text1"/>
        </w:rPr>
        <w:t>Y CONTRIBUCIÓN MENSUAL POR DIVISIONES DE GASTO</w:t>
      </w:r>
    </w:p>
    <w:p w14:paraId="50C4451F" w14:textId="77777777" w:rsidR="00267731" w:rsidRPr="002F5957" w:rsidRDefault="00267731" w:rsidP="00267731">
      <w:pPr>
        <w:shd w:val="clear" w:color="auto" w:fill="FFFFFF" w:themeFill="background1"/>
        <w:spacing w:line="276" w:lineRule="auto"/>
        <w:jc w:val="both"/>
        <w:rPr>
          <w:rFonts w:ascii="Garamond" w:eastAsia="Garamond" w:hAnsi="Garamond" w:cs="Garamond"/>
          <w:b/>
          <w:bCs/>
          <w:color w:val="000000" w:themeColor="text1"/>
          <w:sz w:val="22"/>
          <w:szCs w:val="22"/>
        </w:rPr>
      </w:pPr>
    </w:p>
    <w:p w14:paraId="149C9C8B" w14:textId="77777777" w:rsidR="00267731" w:rsidRPr="002F5957" w:rsidRDefault="00267731" w:rsidP="00267731">
      <w:pPr>
        <w:spacing w:line="276" w:lineRule="auto"/>
        <w:jc w:val="both"/>
        <w:rPr>
          <w:rFonts w:ascii="Garamond" w:eastAsia="Garamond" w:hAnsi="Garamond" w:cs="Garamond"/>
          <w:bCs/>
          <w:color w:val="000000" w:themeColor="text1"/>
          <w:sz w:val="22"/>
          <w:szCs w:val="22"/>
        </w:rPr>
      </w:pPr>
      <w:r w:rsidRPr="002F5957">
        <w:rPr>
          <w:rFonts w:ascii="Garamond" w:eastAsia="Garamond" w:hAnsi="Garamond" w:cs="Garamond"/>
          <w:bCs/>
          <w:color w:val="000000" w:themeColor="text1"/>
          <w:sz w:val="22"/>
          <w:szCs w:val="22"/>
        </w:rPr>
        <w:t>En el mes de mayo de 2026, el IPC registró una variación de 0,47% en comparación con abril de 2026, cinco divisiones se ubicaron por encima del promedio nacional (0,47%): Alojamiento, agua, electricidad, gas y otros combustibles (0,86%), Recreación y cultura (0,77%), Transporte (0,61%), Muebles, artículos para el hogar y para la conservación ordinaria del hogar (0,53%) y por último, Salud (0,52%). Por debajo se ubicaron: Prendas de vestir y calzado (0,42%), Restaurantes y hoteles (0,38%), Bebidas alcohólicas y tabaco (0,27%), Información y comunicación (0,25%), Bienes y servicios diversos (0,22%), Educación (0,00%) y por último, Alimentos y bebidas no alcohólicas (-0,02%).</w:t>
      </w:r>
    </w:p>
    <w:p w14:paraId="572E31A6" w14:textId="77777777" w:rsidR="00267731" w:rsidRPr="002F5957" w:rsidRDefault="00267731" w:rsidP="00267731">
      <w:pPr>
        <w:spacing w:line="276" w:lineRule="auto"/>
        <w:jc w:val="both"/>
        <w:rPr>
          <w:rFonts w:ascii="Garamond" w:eastAsia="Garamond" w:hAnsi="Garamond" w:cs="Garamond"/>
          <w:bCs/>
          <w:color w:val="000000" w:themeColor="text1"/>
          <w:sz w:val="22"/>
          <w:szCs w:val="22"/>
        </w:rPr>
      </w:pPr>
    </w:p>
    <w:p w14:paraId="22338D24" w14:textId="77777777" w:rsidR="00267731" w:rsidRPr="002F5957" w:rsidRDefault="00267731" w:rsidP="00267731">
      <w:pPr>
        <w:spacing w:line="276" w:lineRule="auto"/>
        <w:jc w:val="both"/>
        <w:rPr>
          <w:rFonts w:ascii="Garamond" w:eastAsia="Garamond" w:hAnsi="Garamond" w:cs="Garamond"/>
          <w:bCs/>
          <w:color w:val="000000" w:themeColor="text1"/>
          <w:sz w:val="22"/>
          <w:szCs w:val="22"/>
        </w:rPr>
      </w:pPr>
      <w:r w:rsidRPr="002F5957">
        <w:rPr>
          <w:rFonts w:ascii="Garamond" w:eastAsia="Garamond" w:hAnsi="Garamond" w:cs="Garamond"/>
          <w:bCs/>
          <w:color w:val="000000" w:themeColor="text1"/>
          <w:sz w:val="22"/>
          <w:szCs w:val="22"/>
        </w:rPr>
        <w:t>Los mayores aportes a la variación mensual del IPC (0,47%), se ubicaron en las divisiones de: Alojamiento, agua, electricidad, gas y otros Combustibles, Transporte y Restaurantes y hoteles, las cuales aportaron 0,39 puntos porcentuales a la variación tota</w:t>
      </w:r>
    </w:p>
    <w:p w14:paraId="2EBA5DC5" w14:textId="77777777" w:rsidR="00267731" w:rsidRPr="002F5957" w:rsidRDefault="00267731" w:rsidP="00267731">
      <w:pPr>
        <w:tabs>
          <w:tab w:val="left" w:pos="142"/>
          <w:tab w:val="left" w:pos="567"/>
          <w:tab w:val="left" w:pos="8789"/>
        </w:tabs>
        <w:ind w:right="49"/>
        <w:contextualSpacing/>
        <w:jc w:val="center"/>
        <w:rPr>
          <w:rFonts w:ascii="Garamond" w:hAnsi="Garamond" w:cs="Arial"/>
          <w:kern w:val="3"/>
          <w:sz w:val="22"/>
          <w:szCs w:val="22"/>
          <w:lang w:eastAsia="zh-CN"/>
        </w:rPr>
      </w:pPr>
      <w:r w:rsidRPr="002F5957">
        <w:rPr>
          <w:rFonts w:ascii="Garamond" w:hAnsi="Garamond" w:cs="Arial"/>
          <w:noProof/>
          <w:kern w:val="3"/>
          <w:sz w:val="22"/>
          <w:szCs w:val="22"/>
          <w:lang w:eastAsia="zh-CN"/>
        </w:rPr>
        <w:lastRenderedPageBreak/>
        <w:drawing>
          <wp:inline distT="0" distB="0" distL="0" distR="0" wp14:anchorId="68BC399E" wp14:editId="17FB629A">
            <wp:extent cx="5579745" cy="2753360"/>
            <wp:effectExtent l="0" t="0" r="1905" b="8890"/>
            <wp:docPr id="9561980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198065" name=""/>
                    <pic:cNvPicPr/>
                  </pic:nvPicPr>
                  <pic:blipFill>
                    <a:blip r:embed="rId13"/>
                    <a:stretch>
                      <a:fillRect/>
                    </a:stretch>
                  </pic:blipFill>
                  <pic:spPr>
                    <a:xfrm>
                      <a:off x="0" y="0"/>
                      <a:ext cx="5579745" cy="2753360"/>
                    </a:xfrm>
                    <a:prstGeom prst="rect">
                      <a:avLst/>
                    </a:prstGeom>
                  </pic:spPr>
                </pic:pic>
              </a:graphicData>
            </a:graphic>
          </wp:inline>
        </w:drawing>
      </w:r>
    </w:p>
    <w:p w14:paraId="3EAC112E" w14:textId="77777777" w:rsidR="00267731" w:rsidRPr="002F5957" w:rsidRDefault="00267731" w:rsidP="00267731">
      <w:pPr>
        <w:tabs>
          <w:tab w:val="left" w:pos="142"/>
          <w:tab w:val="left" w:pos="567"/>
          <w:tab w:val="left" w:pos="8789"/>
        </w:tabs>
        <w:ind w:right="49"/>
        <w:contextualSpacing/>
        <w:jc w:val="center"/>
        <w:rPr>
          <w:rFonts w:ascii="Garamond" w:eastAsia="Garamond" w:hAnsi="Garamond"/>
          <w:noProof/>
          <w:sz w:val="22"/>
          <w:szCs w:val="22"/>
          <w:lang w:val="es-ES"/>
        </w:rPr>
      </w:pPr>
      <w:r w:rsidRPr="002F5957">
        <w:rPr>
          <w:rFonts w:ascii="Garamond" w:hAnsi="Garamond" w:cs="Arial"/>
          <w:kern w:val="3"/>
          <w:sz w:val="22"/>
          <w:szCs w:val="22"/>
          <w:lang w:eastAsia="zh-CN"/>
        </w:rPr>
        <w:t xml:space="preserve">     </w:t>
      </w:r>
      <w:r w:rsidRPr="002F5957">
        <w:rPr>
          <w:rFonts w:ascii="Garamond" w:hAnsi="Garamond"/>
          <w:sz w:val="22"/>
          <w:szCs w:val="22"/>
        </w:rPr>
        <w:t xml:space="preserve">Fuente: DANE </w:t>
      </w:r>
      <w:r w:rsidRPr="002F5957">
        <w:rPr>
          <w:rFonts w:ascii="Garamond" w:eastAsia="Garamond" w:hAnsi="Garamond" w:cs="Garamond"/>
          <w:sz w:val="22"/>
          <w:szCs w:val="22"/>
        </w:rPr>
        <w:t>–</w:t>
      </w:r>
      <w:r w:rsidRPr="002F5957">
        <w:rPr>
          <w:rFonts w:ascii="Garamond" w:hAnsi="Garamond"/>
          <w:sz w:val="22"/>
          <w:szCs w:val="22"/>
        </w:rPr>
        <w:t xml:space="preserve"> Boletín técnico Índice de Precios al Consumidor (IPC) mayo 2026</w:t>
      </w:r>
      <w:r w:rsidRPr="002F5957">
        <w:rPr>
          <w:rFonts w:ascii="Garamond" w:hAnsi="Garamond" w:cs="Arial"/>
          <w:sz w:val="22"/>
          <w:szCs w:val="22"/>
          <w:lang w:eastAsia="zh-CN"/>
        </w:rPr>
        <w:t xml:space="preserve"> </w:t>
      </w:r>
    </w:p>
    <w:p w14:paraId="6A1BD78B" w14:textId="77777777" w:rsidR="00267731" w:rsidRPr="002F5957" w:rsidRDefault="00267731" w:rsidP="00267731">
      <w:pPr>
        <w:tabs>
          <w:tab w:val="left" w:pos="142"/>
          <w:tab w:val="left" w:pos="567"/>
          <w:tab w:val="left" w:pos="8789"/>
        </w:tabs>
        <w:ind w:right="49"/>
        <w:contextualSpacing/>
        <w:jc w:val="center"/>
        <w:rPr>
          <w:rFonts w:ascii="Garamond" w:hAnsi="Garamond" w:cs="Arial"/>
          <w:kern w:val="3"/>
          <w:sz w:val="22"/>
          <w:szCs w:val="22"/>
          <w:lang w:eastAsia="zh-CN"/>
        </w:rPr>
      </w:pPr>
    </w:p>
    <w:p w14:paraId="4928D46D" w14:textId="77777777" w:rsidR="00267731" w:rsidRPr="002F5957" w:rsidRDefault="00267731" w:rsidP="00267731">
      <w:pPr>
        <w:pStyle w:val="Prrafodelista"/>
        <w:numPr>
          <w:ilvl w:val="1"/>
          <w:numId w:val="10"/>
        </w:numPr>
        <w:tabs>
          <w:tab w:val="left" w:pos="142"/>
          <w:tab w:val="left" w:pos="567"/>
          <w:tab w:val="left" w:pos="8789"/>
        </w:tabs>
        <w:spacing w:after="0" w:line="240" w:lineRule="auto"/>
        <w:ind w:right="49"/>
        <w:jc w:val="both"/>
        <w:rPr>
          <w:rFonts w:ascii="Garamond" w:hAnsi="Garamond" w:cs="Arial"/>
          <w:b/>
          <w:bCs/>
        </w:rPr>
      </w:pPr>
      <w:r w:rsidRPr="002F5957">
        <w:rPr>
          <w:rFonts w:ascii="Garamond" w:hAnsi="Garamond" w:cs="Arial"/>
          <w:b/>
          <w:bCs/>
        </w:rPr>
        <w:t>RESULTADOS AÑO CORRIDO</w:t>
      </w:r>
    </w:p>
    <w:p w14:paraId="3E6A26C6" w14:textId="77777777" w:rsidR="00267731" w:rsidRPr="002F5957" w:rsidRDefault="00267731" w:rsidP="00267731">
      <w:pPr>
        <w:tabs>
          <w:tab w:val="left" w:pos="142"/>
          <w:tab w:val="left" w:pos="567"/>
          <w:tab w:val="left" w:pos="8789"/>
        </w:tabs>
        <w:ind w:right="49"/>
        <w:contextualSpacing/>
        <w:jc w:val="both"/>
        <w:rPr>
          <w:rFonts w:ascii="Garamond" w:eastAsia="Garamond" w:hAnsi="Garamond" w:cs="Garamond"/>
          <w:bCs/>
          <w:color w:val="000000" w:themeColor="text1"/>
          <w:sz w:val="22"/>
          <w:szCs w:val="22"/>
        </w:rPr>
      </w:pPr>
    </w:p>
    <w:p w14:paraId="095E5738" w14:textId="77777777" w:rsidR="00267731" w:rsidRPr="002F5957" w:rsidRDefault="00267731" w:rsidP="00267731">
      <w:pPr>
        <w:tabs>
          <w:tab w:val="left" w:pos="142"/>
          <w:tab w:val="left" w:pos="567"/>
          <w:tab w:val="left" w:pos="8789"/>
        </w:tabs>
        <w:ind w:right="49"/>
        <w:contextualSpacing/>
        <w:jc w:val="both"/>
        <w:rPr>
          <w:rFonts w:ascii="Garamond" w:eastAsia="Garamond" w:hAnsi="Garamond" w:cs="Garamond"/>
          <w:bCs/>
          <w:color w:val="000000" w:themeColor="text1"/>
          <w:sz w:val="22"/>
          <w:szCs w:val="22"/>
        </w:rPr>
      </w:pPr>
      <w:r w:rsidRPr="002F5957">
        <w:rPr>
          <w:rFonts w:ascii="Garamond" w:eastAsia="Garamond" w:hAnsi="Garamond" w:cs="Garamond"/>
          <w:bCs/>
          <w:color w:val="000000" w:themeColor="text1"/>
          <w:sz w:val="22"/>
          <w:szCs w:val="22"/>
        </w:rPr>
        <w:t>En lo corrido del año (enero - mayo), seis divisiones de bienes y servicios se ubicaron por encima del promedio nacional (4,36%): Restaurantes y hoteles (6,02%), Educación (5,89%), Alimentos y bebidas no alcohólicas (5,85%), Muebles, artículos para el hogar y para la conservación ordinaria del hogar (5,32%), Salud (4,51%) y por último, Transporte (4,48%). El resto de las divisiones se ubicaron por debajo del promedio: Bienes y servicios diversos (3,66%), Bebidas alcohólicas y tabaco (3,39%), Información y comunicación (3,24%), Alojamiento, agua, electricidad, gas y otros combustibles (3,13%), Recreación y cultura (2,84%) y por último, Prendas de vestir y calzado (1,95%).</w:t>
      </w:r>
    </w:p>
    <w:p w14:paraId="0344B84B" w14:textId="77777777" w:rsidR="00267731" w:rsidRPr="002F5957" w:rsidRDefault="00267731" w:rsidP="00267731">
      <w:pPr>
        <w:tabs>
          <w:tab w:val="left" w:pos="142"/>
          <w:tab w:val="left" w:pos="567"/>
          <w:tab w:val="left" w:pos="8789"/>
        </w:tabs>
        <w:ind w:right="49"/>
        <w:contextualSpacing/>
        <w:jc w:val="both"/>
        <w:rPr>
          <w:rFonts w:ascii="Garamond" w:eastAsia="Garamond" w:hAnsi="Garamond" w:cs="Garamond"/>
          <w:bCs/>
          <w:color w:val="000000" w:themeColor="text1"/>
          <w:sz w:val="22"/>
          <w:szCs w:val="22"/>
        </w:rPr>
      </w:pPr>
    </w:p>
    <w:p w14:paraId="7E5ECA84" w14:textId="77777777" w:rsidR="00267731" w:rsidRPr="002F5957" w:rsidRDefault="00267731" w:rsidP="00267731">
      <w:pPr>
        <w:tabs>
          <w:tab w:val="left" w:pos="142"/>
          <w:tab w:val="left" w:pos="567"/>
          <w:tab w:val="left" w:pos="8789"/>
        </w:tabs>
        <w:ind w:right="49"/>
        <w:contextualSpacing/>
        <w:jc w:val="both"/>
        <w:rPr>
          <w:rFonts w:ascii="Garamond" w:eastAsia="Calibri" w:hAnsi="Garamond" w:cs="Arial"/>
          <w:sz w:val="22"/>
          <w:szCs w:val="22"/>
        </w:rPr>
      </w:pPr>
      <w:r w:rsidRPr="002F5957">
        <w:rPr>
          <w:rFonts w:ascii="Garamond" w:eastAsia="Calibri" w:hAnsi="Garamond" w:cs="Arial"/>
          <w:sz w:val="22"/>
          <w:szCs w:val="22"/>
        </w:rPr>
        <w:t>Los mayores aportes a la variación en lo corrido del año (enero - mayo), se ubicaron en las divisiones de Alimentos y bebidas no alcohólicas, Alojamiento, agua, electricidad, gas y otros combustibles, Restaurantes y hoteles, Transporte y Educación, las cuales en conjunto contribuyeron con 3,59 puntos porcentuales a la variación total.</w:t>
      </w:r>
    </w:p>
    <w:p w14:paraId="158C2FC8" w14:textId="77777777" w:rsidR="00267731" w:rsidRPr="002F5957" w:rsidRDefault="00267731" w:rsidP="00267731">
      <w:pPr>
        <w:tabs>
          <w:tab w:val="left" w:pos="142"/>
          <w:tab w:val="left" w:pos="567"/>
          <w:tab w:val="left" w:pos="8789"/>
        </w:tabs>
        <w:ind w:right="49"/>
        <w:contextualSpacing/>
        <w:jc w:val="both"/>
        <w:rPr>
          <w:rFonts w:ascii="Garamond" w:eastAsia="Calibri" w:hAnsi="Garamond" w:cs="Arial"/>
          <w:sz w:val="22"/>
          <w:szCs w:val="22"/>
        </w:rPr>
      </w:pPr>
      <w:r w:rsidRPr="002F5957">
        <w:rPr>
          <w:rFonts w:ascii="Garamond" w:eastAsia="Calibri" w:hAnsi="Garamond" w:cs="Arial"/>
          <w:noProof/>
          <w:sz w:val="22"/>
          <w:szCs w:val="22"/>
        </w:rPr>
        <w:lastRenderedPageBreak/>
        <w:drawing>
          <wp:inline distT="0" distB="0" distL="0" distR="0" wp14:anchorId="22027F9F" wp14:editId="54E6A9C9">
            <wp:extent cx="5579745" cy="3173095"/>
            <wp:effectExtent l="0" t="0" r="1905" b="8255"/>
            <wp:docPr id="6471803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180369" name=""/>
                    <pic:cNvPicPr/>
                  </pic:nvPicPr>
                  <pic:blipFill>
                    <a:blip r:embed="rId14"/>
                    <a:stretch>
                      <a:fillRect/>
                    </a:stretch>
                  </pic:blipFill>
                  <pic:spPr>
                    <a:xfrm>
                      <a:off x="0" y="0"/>
                      <a:ext cx="5579745" cy="3173095"/>
                    </a:xfrm>
                    <a:prstGeom prst="rect">
                      <a:avLst/>
                    </a:prstGeom>
                  </pic:spPr>
                </pic:pic>
              </a:graphicData>
            </a:graphic>
          </wp:inline>
        </w:drawing>
      </w:r>
      <w:r w:rsidRPr="002F5957">
        <w:rPr>
          <w:rFonts w:ascii="Garamond" w:eastAsia="Calibri" w:hAnsi="Garamond" w:cs="Arial"/>
          <w:sz w:val="22"/>
          <w:szCs w:val="22"/>
        </w:rPr>
        <w:tab/>
      </w:r>
    </w:p>
    <w:p w14:paraId="3E11BF95" w14:textId="77777777" w:rsidR="00267731" w:rsidRPr="002F5957" w:rsidRDefault="00267731" w:rsidP="00267731">
      <w:pPr>
        <w:tabs>
          <w:tab w:val="left" w:pos="142"/>
          <w:tab w:val="left" w:pos="567"/>
          <w:tab w:val="left" w:pos="8789"/>
        </w:tabs>
        <w:ind w:right="49"/>
        <w:contextualSpacing/>
        <w:rPr>
          <w:rFonts w:ascii="Garamond" w:eastAsia="Calibri" w:hAnsi="Garamond" w:cs="Arial"/>
          <w:b/>
          <w:bCs/>
          <w:sz w:val="22"/>
          <w:szCs w:val="22"/>
        </w:rPr>
      </w:pPr>
    </w:p>
    <w:p w14:paraId="49EF8C3F" w14:textId="77777777" w:rsidR="00267731" w:rsidRPr="002F5957" w:rsidRDefault="00267731" w:rsidP="00267731">
      <w:pPr>
        <w:tabs>
          <w:tab w:val="left" w:pos="142"/>
          <w:tab w:val="left" w:pos="567"/>
          <w:tab w:val="left" w:pos="8789"/>
        </w:tabs>
        <w:ind w:right="49"/>
        <w:contextualSpacing/>
        <w:rPr>
          <w:rFonts w:ascii="Garamond" w:eastAsia="Calibri" w:hAnsi="Garamond" w:cs="Arial"/>
          <w:b/>
          <w:bCs/>
          <w:sz w:val="22"/>
          <w:szCs w:val="22"/>
        </w:rPr>
      </w:pPr>
    </w:p>
    <w:p w14:paraId="05E433EB" w14:textId="77777777" w:rsidR="00267731" w:rsidRPr="002F5957" w:rsidRDefault="00267731" w:rsidP="00267731">
      <w:pPr>
        <w:tabs>
          <w:tab w:val="left" w:pos="142"/>
          <w:tab w:val="left" w:pos="567"/>
          <w:tab w:val="left" w:pos="8789"/>
        </w:tabs>
        <w:ind w:right="49"/>
        <w:contextualSpacing/>
        <w:jc w:val="both"/>
        <w:rPr>
          <w:rFonts w:ascii="Garamond" w:hAnsi="Garamond"/>
          <w:b/>
          <w:bCs/>
          <w:sz w:val="22"/>
          <w:szCs w:val="22"/>
        </w:rPr>
      </w:pPr>
      <w:bookmarkStart w:id="4" w:name="_Hlk206510824"/>
      <w:r w:rsidRPr="002F5957">
        <w:rPr>
          <w:rFonts w:ascii="Garamond" w:hAnsi="Garamond"/>
          <w:b/>
          <w:bCs/>
          <w:sz w:val="22"/>
          <w:szCs w:val="22"/>
        </w:rPr>
        <w:t>2.4.1 VARIACIÓN Y CONTRIBUCIÓN DE LAS SUBCLASES EN EL AÑO CORRIDO</w:t>
      </w:r>
    </w:p>
    <w:bookmarkEnd w:id="4"/>
    <w:p w14:paraId="1EA8687C" w14:textId="77777777" w:rsidR="00267731" w:rsidRPr="002F5957" w:rsidRDefault="00267731" w:rsidP="00267731">
      <w:pPr>
        <w:tabs>
          <w:tab w:val="left" w:pos="142"/>
          <w:tab w:val="left" w:pos="567"/>
          <w:tab w:val="left" w:pos="8789"/>
        </w:tabs>
        <w:ind w:right="49"/>
        <w:jc w:val="both"/>
        <w:rPr>
          <w:rFonts w:ascii="Garamond" w:eastAsia="Calibri" w:hAnsi="Garamond" w:cs="Arial"/>
          <w:b/>
          <w:sz w:val="22"/>
          <w:szCs w:val="22"/>
        </w:rPr>
      </w:pPr>
    </w:p>
    <w:p w14:paraId="3DBD13AC" w14:textId="77777777" w:rsidR="00267731" w:rsidRPr="002F5957" w:rsidRDefault="00267731" w:rsidP="00267731">
      <w:pPr>
        <w:tabs>
          <w:tab w:val="left" w:pos="142"/>
          <w:tab w:val="left" w:pos="567"/>
          <w:tab w:val="left" w:pos="8789"/>
        </w:tabs>
        <w:ind w:right="49"/>
        <w:contextualSpacing/>
        <w:jc w:val="both"/>
        <w:rPr>
          <w:rFonts w:ascii="Garamond" w:eastAsia="Calibri" w:hAnsi="Garamond" w:cs="Arial"/>
          <w:sz w:val="22"/>
          <w:szCs w:val="22"/>
        </w:rPr>
      </w:pPr>
      <w:r w:rsidRPr="002F5957">
        <w:rPr>
          <w:rFonts w:ascii="Garamond" w:eastAsia="Calibri" w:hAnsi="Garamond" w:cs="Arial"/>
          <w:sz w:val="22"/>
          <w:szCs w:val="22"/>
        </w:rPr>
        <w:t>En mayo de 2026 en comparación con diciembre de 2025, la variación de las subclases que más aportaron al acumulado del año fueron: transporte urbano (10,32%), comidas en establecimientos de servicio a la mesa y autoservicio (6,30%), arriendo imputado (2,63%), frutas frescas (22,03%), arriendo efectivo (2,73%), carne de res y derivados (7,89%), servicios relacionados con la copropiedad (10,93%), servicio doméstico (12,78%), comidas preparadas fuera del hogar para consumo inmediato (5,59%) y papas (36,79%). Con contribución negativa a la variación se ubicó: vehículo particular nuevo o usado (-1,32%), dulces, confites, caramelos, bombones, chocolatinas, chicles, masmelos, cocadas para consumo en el hogar (-17,84%), arroz (-2,25%), legumbres secas (-4,93%) y carne de cerdo y derivados (-2,38%).</w:t>
      </w:r>
    </w:p>
    <w:p w14:paraId="19A870EC" w14:textId="77777777" w:rsidR="00267731" w:rsidRPr="002F5957" w:rsidRDefault="00267731" w:rsidP="00267731">
      <w:pPr>
        <w:tabs>
          <w:tab w:val="left" w:pos="142"/>
          <w:tab w:val="left" w:pos="567"/>
          <w:tab w:val="left" w:pos="8789"/>
        </w:tabs>
        <w:ind w:right="49"/>
        <w:contextualSpacing/>
        <w:jc w:val="center"/>
        <w:rPr>
          <w:rFonts w:ascii="Garamond" w:hAnsi="Garamond"/>
          <w:sz w:val="22"/>
          <w:szCs w:val="22"/>
        </w:rPr>
      </w:pPr>
      <w:r w:rsidRPr="002F5957">
        <w:rPr>
          <w:rFonts w:ascii="Garamond" w:hAnsi="Garamond"/>
          <w:noProof/>
          <w:sz w:val="22"/>
          <w:szCs w:val="22"/>
        </w:rPr>
        <w:lastRenderedPageBreak/>
        <w:drawing>
          <wp:inline distT="0" distB="0" distL="0" distR="0" wp14:anchorId="300C789C" wp14:editId="697BC46C">
            <wp:extent cx="5579745" cy="2625725"/>
            <wp:effectExtent l="0" t="0" r="1905" b="3175"/>
            <wp:docPr id="16417265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726590" name=""/>
                    <pic:cNvPicPr/>
                  </pic:nvPicPr>
                  <pic:blipFill>
                    <a:blip r:embed="rId15"/>
                    <a:stretch>
                      <a:fillRect/>
                    </a:stretch>
                  </pic:blipFill>
                  <pic:spPr>
                    <a:xfrm>
                      <a:off x="0" y="0"/>
                      <a:ext cx="5579745" cy="2625725"/>
                    </a:xfrm>
                    <a:prstGeom prst="rect">
                      <a:avLst/>
                    </a:prstGeom>
                  </pic:spPr>
                </pic:pic>
              </a:graphicData>
            </a:graphic>
          </wp:inline>
        </w:drawing>
      </w:r>
    </w:p>
    <w:p w14:paraId="6E00D37D" w14:textId="77777777" w:rsidR="00267731" w:rsidRPr="002F5957" w:rsidRDefault="00267731" w:rsidP="00267731">
      <w:pPr>
        <w:tabs>
          <w:tab w:val="left" w:pos="142"/>
          <w:tab w:val="left" w:pos="567"/>
          <w:tab w:val="left" w:pos="8789"/>
        </w:tabs>
        <w:ind w:right="49"/>
        <w:contextualSpacing/>
        <w:jc w:val="center"/>
        <w:rPr>
          <w:rFonts w:ascii="Garamond" w:hAnsi="Garamond"/>
          <w:sz w:val="22"/>
          <w:szCs w:val="22"/>
        </w:rPr>
      </w:pPr>
      <w:r w:rsidRPr="002F5957">
        <w:rPr>
          <w:rFonts w:ascii="Garamond" w:hAnsi="Garamond"/>
          <w:sz w:val="22"/>
          <w:szCs w:val="22"/>
        </w:rPr>
        <w:t xml:space="preserve">Fuente: DANE </w:t>
      </w:r>
      <w:r w:rsidRPr="002F5957">
        <w:rPr>
          <w:rFonts w:ascii="Garamond" w:eastAsia="Garamond" w:hAnsi="Garamond" w:cs="Garamond"/>
          <w:sz w:val="22"/>
          <w:szCs w:val="22"/>
        </w:rPr>
        <w:t>–</w:t>
      </w:r>
      <w:r w:rsidRPr="002F5957">
        <w:rPr>
          <w:rFonts w:ascii="Garamond" w:hAnsi="Garamond"/>
          <w:sz w:val="22"/>
          <w:szCs w:val="22"/>
        </w:rPr>
        <w:t xml:space="preserve"> Boletín técnico Índice de Precios al Consumidor (IPC) mayo 2026</w:t>
      </w:r>
    </w:p>
    <w:p w14:paraId="30BE66BC" w14:textId="77777777" w:rsidR="00267731" w:rsidRPr="002F5957" w:rsidRDefault="00267731" w:rsidP="00267731">
      <w:pPr>
        <w:tabs>
          <w:tab w:val="left" w:pos="142"/>
          <w:tab w:val="left" w:pos="567"/>
          <w:tab w:val="left" w:pos="8789"/>
        </w:tabs>
        <w:ind w:right="49"/>
        <w:contextualSpacing/>
        <w:rPr>
          <w:rFonts w:ascii="Garamond" w:eastAsia="Calibri" w:hAnsi="Garamond" w:cs="Arial"/>
          <w:sz w:val="22"/>
          <w:szCs w:val="22"/>
        </w:rPr>
      </w:pPr>
    </w:p>
    <w:p w14:paraId="13780BBF" w14:textId="77777777" w:rsidR="00267731" w:rsidRPr="002F5957" w:rsidRDefault="00267731" w:rsidP="00267731">
      <w:pPr>
        <w:pStyle w:val="Prrafodelista"/>
        <w:numPr>
          <w:ilvl w:val="1"/>
          <w:numId w:val="10"/>
        </w:numPr>
        <w:tabs>
          <w:tab w:val="left" w:pos="142"/>
          <w:tab w:val="left" w:pos="567"/>
          <w:tab w:val="left" w:pos="8789"/>
        </w:tabs>
        <w:spacing w:after="0" w:line="240" w:lineRule="auto"/>
        <w:ind w:right="49"/>
        <w:jc w:val="both"/>
        <w:rPr>
          <w:rFonts w:ascii="Garamond" w:hAnsi="Garamond" w:cs="Arial"/>
          <w:b/>
          <w:bCs/>
        </w:rPr>
      </w:pPr>
      <w:r w:rsidRPr="002F5957">
        <w:rPr>
          <w:rFonts w:ascii="Garamond" w:hAnsi="Garamond" w:cs="Arial"/>
          <w:b/>
          <w:bCs/>
        </w:rPr>
        <w:t>PRODUCTO INTERNO BRUTO (PIB)</w:t>
      </w:r>
    </w:p>
    <w:p w14:paraId="7F6762DE" w14:textId="77777777" w:rsidR="00267731" w:rsidRPr="002F5957" w:rsidRDefault="00267731" w:rsidP="00267731">
      <w:pPr>
        <w:tabs>
          <w:tab w:val="left" w:pos="142"/>
          <w:tab w:val="left" w:pos="567"/>
          <w:tab w:val="left" w:pos="8789"/>
        </w:tabs>
        <w:ind w:right="49"/>
        <w:contextualSpacing/>
        <w:jc w:val="both"/>
        <w:rPr>
          <w:rFonts w:ascii="Garamond" w:eastAsia="Calibri" w:hAnsi="Garamond" w:cs="Arial"/>
          <w:b/>
          <w:bCs/>
          <w:sz w:val="22"/>
          <w:szCs w:val="22"/>
        </w:rPr>
      </w:pPr>
    </w:p>
    <w:p w14:paraId="3C48DF9A" w14:textId="77777777" w:rsidR="00267731" w:rsidRPr="002F5957" w:rsidRDefault="00267731" w:rsidP="00267731">
      <w:pPr>
        <w:tabs>
          <w:tab w:val="left" w:pos="142"/>
          <w:tab w:val="left" w:pos="567"/>
          <w:tab w:val="left" w:pos="8789"/>
        </w:tabs>
        <w:ind w:right="49"/>
        <w:jc w:val="both"/>
        <w:rPr>
          <w:rFonts w:ascii="Garamond" w:eastAsia="Calibri" w:hAnsi="Garamond" w:cs="Arial"/>
          <w:b/>
          <w:bCs/>
          <w:sz w:val="22"/>
          <w:szCs w:val="22"/>
        </w:rPr>
      </w:pPr>
      <w:r w:rsidRPr="002F5957">
        <w:rPr>
          <w:rFonts w:ascii="Garamond" w:eastAsia="Calibri" w:hAnsi="Garamond" w:cs="Arial"/>
          <w:b/>
          <w:bCs/>
          <w:sz w:val="22"/>
          <w:szCs w:val="22"/>
        </w:rPr>
        <w:t>2.5.1. PIB DESDE EL ENFOQUE DE LA PRODUCCIÓN</w:t>
      </w:r>
    </w:p>
    <w:p w14:paraId="52B6E1A6" w14:textId="77777777" w:rsidR="00267731" w:rsidRPr="002F5957" w:rsidRDefault="00267731" w:rsidP="00267731">
      <w:pPr>
        <w:tabs>
          <w:tab w:val="left" w:pos="142"/>
          <w:tab w:val="left" w:pos="567"/>
          <w:tab w:val="left" w:pos="8789"/>
        </w:tabs>
        <w:ind w:right="49"/>
        <w:contextualSpacing/>
        <w:jc w:val="center"/>
        <w:rPr>
          <w:rFonts w:ascii="Garamond" w:eastAsia="Calibri" w:hAnsi="Garamond" w:cs="Arial"/>
          <w:b/>
          <w:bCs/>
          <w:noProof/>
          <w:sz w:val="22"/>
          <w:szCs w:val="22"/>
          <w:lang w:eastAsia="en-US"/>
        </w:rPr>
      </w:pPr>
    </w:p>
    <w:p w14:paraId="4CFB7AD1" w14:textId="77777777" w:rsidR="00267731" w:rsidRPr="002F5957" w:rsidRDefault="00267731" w:rsidP="00267731">
      <w:pPr>
        <w:tabs>
          <w:tab w:val="left" w:pos="142"/>
          <w:tab w:val="left" w:pos="567"/>
          <w:tab w:val="left" w:pos="8789"/>
        </w:tabs>
        <w:ind w:right="49"/>
        <w:jc w:val="center"/>
        <w:rPr>
          <w:rFonts w:ascii="Garamond" w:eastAsia="Garamond" w:hAnsi="Garamond" w:cs="Garamond"/>
          <w:b/>
          <w:bCs/>
          <w:sz w:val="22"/>
          <w:szCs w:val="22"/>
        </w:rPr>
      </w:pPr>
      <w:r w:rsidRPr="002F5957">
        <w:rPr>
          <w:rFonts w:ascii="Garamond" w:eastAsia="Garamond" w:hAnsi="Garamond" w:cs="Garamond"/>
          <w:b/>
          <w:bCs/>
          <w:noProof/>
          <w:sz w:val="22"/>
          <w:szCs w:val="22"/>
        </w:rPr>
        <w:drawing>
          <wp:inline distT="0" distB="0" distL="0" distR="0" wp14:anchorId="4C2B5593" wp14:editId="357EC949">
            <wp:extent cx="5579745" cy="3039745"/>
            <wp:effectExtent l="0" t="0" r="1905" b="8255"/>
            <wp:docPr id="19383540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354022" name=""/>
                    <pic:cNvPicPr/>
                  </pic:nvPicPr>
                  <pic:blipFill>
                    <a:blip r:embed="rId16"/>
                    <a:stretch>
                      <a:fillRect/>
                    </a:stretch>
                  </pic:blipFill>
                  <pic:spPr>
                    <a:xfrm>
                      <a:off x="0" y="0"/>
                      <a:ext cx="5579745" cy="3039745"/>
                    </a:xfrm>
                    <a:prstGeom prst="rect">
                      <a:avLst/>
                    </a:prstGeom>
                  </pic:spPr>
                </pic:pic>
              </a:graphicData>
            </a:graphic>
          </wp:inline>
        </w:drawing>
      </w:r>
    </w:p>
    <w:p w14:paraId="66A371C6" w14:textId="77777777" w:rsidR="00267731" w:rsidRPr="002F5957" w:rsidRDefault="00267731" w:rsidP="00267731">
      <w:pPr>
        <w:tabs>
          <w:tab w:val="left" w:pos="142"/>
          <w:tab w:val="left" w:pos="567"/>
          <w:tab w:val="left" w:pos="8789"/>
        </w:tabs>
        <w:ind w:right="49"/>
        <w:jc w:val="center"/>
        <w:rPr>
          <w:rFonts w:ascii="Garamond" w:eastAsia="Garamond" w:hAnsi="Garamond" w:cs="Garamond"/>
          <w:sz w:val="22"/>
          <w:szCs w:val="22"/>
          <w:highlight w:val="yellow"/>
        </w:rPr>
      </w:pPr>
      <w:r w:rsidRPr="002F5957">
        <w:rPr>
          <w:rFonts w:ascii="Garamond" w:eastAsia="Garamond" w:hAnsi="Garamond" w:cs="Garamond"/>
          <w:sz w:val="22"/>
          <w:szCs w:val="22"/>
        </w:rPr>
        <w:t>Fuente: DANE – Boletín técnico de Producto Interno Bruto (PIB) primer trimestre 2026</w:t>
      </w:r>
      <w:r w:rsidRPr="002F5957">
        <w:rPr>
          <w:rFonts w:ascii="Garamond" w:eastAsia="Garamond" w:hAnsi="Garamond" w:cs="Garamond"/>
          <w:sz w:val="22"/>
          <w:szCs w:val="22"/>
          <w:vertAlign w:val="superscript"/>
        </w:rPr>
        <w:footnoteReference w:id="4"/>
      </w:r>
    </w:p>
    <w:p w14:paraId="2750AE92" w14:textId="77777777" w:rsidR="00267731" w:rsidRPr="002F5957" w:rsidRDefault="00267731" w:rsidP="00267731">
      <w:pPr>
        <w:tabs>
          <w:tab w:val="left" w:pos="142"/>
          <w:tab w:val="left" w:pos="567"/>
          <w:tab w:val="left" w:pos="8789"/>
        </w:tabs>
        <w:ind w:right="49"/>
        <w:jc w:val="center"/>
        <w:rPr>
          <w:rFonts w:ascii="Garamond" w:eastAsia="Garamond" w:hAnsi="Garamond" w:cs="Garamond"/>
          <w:b/>
          <w:bCs/>
          <w:sz w:val="22"/>
          <w:szCs w:val="22"/>
        </w:rPr>
      </w:pPr>
    </w:p>
    <w:p w14:paraId="5D45D142" w14:textId="77777777" w:rsidR="00267731" w:rsidRPr="002F5957" w:rsidRDefault="00267731" w:rsidP="00267731">
      <w:pPr>
        <w:tabs>
          <w:tab w:val="left" w:pos="142"/>
          <w:tab w:val="left" w:pos="567"/>
          <w:tab w:val="left" w:pos="8789"/>
        </w:tabs>
        <w:ind w:right="49"/>
        <w:jc w:val="both"/>
        <w:rPr>
          <w:rFonts w:ascii="Garamond" w:eastAsia="Garamond" w:hAnsi="Garamond" w:cs="Garamond"/>
          <w:sz w:val="22"/>
          <w:szCs w:val="22"/>
        </w:rPr>
      </w:pPr>
      <w:r w:rsidRPr="002F5957">
        <w:rPr>
          <w:rFonts w:ascii="Garamond" w:eastAsia="Garamond" w:hAnsi="Garamond" w:cs="Garamond"/>
          <w:sz w:val="22"/>
          <w:szCs w:val="22"/>
        </w:rPr>
        <w:lastRenderedPageBreak/>
        <w:t>Según el DANE, Boletín Técnico del Producto Interno Bruto (PIB) nacional n el primer trimestre de 2026</w:t>
      </w:r>
      <w:r w:rsidRPr="002F5957">
        <w:rPr>
          <w:rFonts w:ascii="Garamond" w:eastAsia="Garamond" w:hAnsi="Garamond" w:cs="Garamond"/>
          <w:sz w:val="22"/>
          <w:szCs w:val="22"/>
          <w:vertAlign w:val="superscript"/>
        </w:rPr>
        <w:t>pr</w:t>
      </w:r>
      <w:r w:rsidRPr="002F5957">
        <w:rPr>
          <w:rFonts w:ascii="Garamond" w:eastAsia="Garamond" w:hAnsi="Garamond" w:cs="Garamond"/>
          <w:sz w:val="22"/>
          <w:szCs w:val="22"/>
        </w:rPr>
        <w:t>, el Producto Interno Bruto en su serie original, crece 2,2% respecto al mismo periodo de 2025</w:t>
      </w:r>
      <w:r w:rsidRPr="002F5957">
        <w:rPr>
          <w:rFonts w:ascii="Garamond" w:eastAsia="Garamond" w:hAnsi="Garamond" w:cs="Garamond"/>
          <w:sz w:val="22"/>
          <w:szCs w:val="22"/>
          <w:vertAlign w:val="superscript"/>
        </w:rPr>
        <w:t>pr</w:t>
      </w:r>
    </w:p>
    <w:p w14:paraId="5A79AFFC" w14:textId="77777777" w:rsidR="00267731" w:rsidRPr="002F5957" w:rsidRDefault="00267731" w:rsidP="00267731">
      <w:pPr>
        <w:pBdr>
          <w:top w:val="nil"/>
          <w:left w:val="nil"/>
          <w:bottom w:val="nil"/>
          <w:right w:val="nil"/>
          <w:between w:val="nil"/>
        </w:pBdr>
        <w:tabs>
          <w:tab w:val="left" w:pos="142"/>
          <w:tab w:val="left" w:pos="567"/>
          <w:tab w:val="left" w:pos="8789"/>
        </w:tabs>
        <w:ind w:right="49"/>
        <w:jc w:val="both"/>
        <w:rPr>
          <w:rFonts w:ascii="Garamond" w:eastAsia="Garamond" w:hAnsi="Garamond" w:cs="Garamond"/>
          <w:color w:val="000000"/>
          <w:sz w:val="22"/>
          <w:szCs w:val="22"/>
        </w:rPr>
      </w:pPr>
    </w:p>
    <w:p w14:paraId="09613CAE" w14:textId="77777777" w:rsidR="00267731" w:rsidRPr="002F5957" w:rsidRDefault="00267731" w:rsidP="00267731">
      <w:pPr>
        <w:tabs>
          <w:tab w:val="left" w:pos="142"/>
          <w:tab w:val="left" w:pos="567"/>
          <w:tab w:val="left" w:pos="8789"/>
        </w:tabs>
        <w:ind w:right="49"/>
        <w:jc w:val="both"/>
        <w:rPr>
          <w:rFonts w:ascii="Garamond" w:eastAsia="Garamond" w:hAnsi="Garamond" w:cs="Garamond"/>
          <w:color w:val="000000"/>
          <w:sz w:val="22"/>
          <w:szCs w:val="22"/>
        </w:rPr>
      </w:pPr>
      <w:r w:rsidRPr="002F5957">
        <w:rPr>
          <w:rFonts w:ascii="Garamond" w:eastAsia="Garamond" w:hAnsi="Garamond" w:cs="Garamond"/>
          <w:color w:val="000000"/>
          <w:sz w:val="22"/>
          <w:szCs w:val="22"/>
        </w:rPr>
        <w:t>Las actividades económicas que más contribuyen a la dinámica del valor agregado son:</w:t>
      </w:r>
    </w:p>
    <w:p w14:paraId="7261826D" w14:textId="77777777" w:rsidR="00267731" w:rsidRPr="002F5957" w:rsidRDefault="00267731" w:rsidP="00267731">
      <w:pPr>
        <w:numPr>
          <w:ilvl w:val="0"/>
          <w:numId w:val="11"/>
        </w:numPr>
        <w:tabs>
          <w:tab w:val="left" w:pos="142"/>
          <w:tab w:val="left" w:pos="567"/>
          <w:tab w:val="left" w:pos="8789"/>
        </w:tabs>
        <w:ind w:right="49"/>
        <w:jc w:val="both"/>
        <w:rPr>
          <w:rFonts w:ascii="Garamond" w:eastAsia="Garamond" w:hAnsi="Garamond" w:cs="Garamond"/>
          <w:color w:val="000000"/>
          <w:sz w:val="22"/>
          <w:szCs w:val="22"/>
        </w:rPr>
      </w:pPr>
      <w:r w:rsidRPr="002F5957">
        <w:rPr>
          <w:rFonts w:ascii="Garamond" w:eastAsia="Garamond" w:hAnsi="Garamond" w:cs="Garamond"/>
          <w:color w:val="000000"/>
          <w:sz w:val="22"/>
          <w:szCs w:val="22"/>
        </w:rPr>
        <w:t>Administración pública y defensa; planes de seguridad social de afiliación obligatoria; Educación; Actividades de atención de la salud humana y de servicios sociales crece 5,7% (contribuye 0,9 puntos porcentuales a la variación anual).</w:t>
      </w:r>
    </w:p>
    <w:p w14:paraId="21D577AD" w14:textId="77777777" w:rsidR="00267731" w:rsidRPr="002F5957" w:rsidRDefault="00267731" w:rsidP="00267731">
      <w:pPr>
        <w:numPr>
          <w:ilvl w:val="0"/>
          <w:numId w:val="11"/>
        </w:numPr>
        <w:tabs>
          <w:tab w:val="left" w:pos="142"/>
          <w:tab w:val="left" w:pos="567"/>
          <w:tab w:val="left" w:pos="8789"/>
        </w:tabs>
        <w:ind w:right="49"/>
        <w:jc w:val="both"/>
        <w:rPr>
          <w:rFonts w:ascii="Garamond" w:eastAsia="Garamond" w:hAnsi="Garamond" w:cs="Garamond"/>
          <w:color w:val="000000"/>
          <w:sz w:val="22"/>
          <w:szCs w:val="22"/>
        </w:rPr>
      </w:pPr>
      <w:r w:rsidRPr="002F5957">
        <w:rPr>
          <w:rFonts w:ascii="Garamond" w:eastAsia="Garamond" w:hAnsi="Garamond" w:cs="Garamond"/>
          <w:color w:val="000000"/>
          <w:sz w:val="22"/>
          <w:szCs w:val="22"/>
        </w:rPr>
        <w:t>Comercio al por mayor y al por menor; reparación de vehículos automotores y motocicletas; Transporte y almacenamiento; Alojamiento y servicios de comida crece 2,9% (contribuye 0,6 puntos porcentuales a la variación anual).</w:t>
      </w:r>
    </w:p>
    <w:p w14:paraId="155CE6DE" w14:textId="77777777" w:rsidR="00267731" w:rsidRPr="002F5957" w:rsidRDefault="00267731" w:rsidP="00267731">
      <w:pPr>
        <w:numPr>
          <w:ilvl w:val="0"/>
          <w:numId w:val="11"/>
        </w:numPr>
        <w:tabs>
          <w:tab w:val="left" w:pos="142"/>
          <w:tab w:val="left" w:pos="567"/>
          <w:tab w:val="left" w:pos="8789"/>
        </w:tabs>
        <w:ind w:right="49"/>
        <w:jc w:val="both"/>
        <w:rPr>
          <w:rFonts w:ascii="Garamond" w:eastAsia="Garamond" w:hAnsi="Garamond" w:cs="Garamond"/>
          <w:color w:val="000000"/>
          <w:sz w:val="22"/>
          <w:szCs w:val="22"/>
        </w:rPr>
      </w:pPr>
      <w:r w:rsidRPr="002F5957">
        <w:rPr>
          <w:rFonts w:ascii="Garamond" w:eastAsia="Garamond" w:hAnsi="Garamond" w:cs="Garamond"/>
          <w:color w:val="000000"/>
          <w:sz w:val="22"/>
          <w:szCs w:val="22"/>
        </w:rPr>
        <w:t>Industrias manufactureras crece 2,9% (contribuye 0,3 puntos porcentuales a la variación anual).</w:t>
      </w:r>
    </w:p>
    <w:p w14:paraId="28117CE9" w14:textId="77777777" w:rsidR="00267731" w:rsidRPr="002F5957" w:rsidRDefault="00267731" w:rsidP="00267731">
      <w:pPr>
        <w:tabs>
          <w:tab w:val="left" w:pos="142"/>
          <w:tab w:val="left" w:pos="567"/>
          <w:tab w:val="left" w:pos="8789"/>
        </w:tabs>
        <w:ind w:right="49"/>
        <w:jc w:val="both"/>
        <w:rPr>
          <w:rFonts w:ascii="Garamond" w:eastAsia="Garamond" w:hAnsi="Garamond" w:cs="Garamond"/>
          <w:color w:val="000000"/>
          <w:sz w:val="22"/>
          <w:szCs w:val="22"/>
        </w:rPr>
      </w:pPr>
    </w:p>
    <w:p w14:paraId="41F1BB34" w14:textId="77777777" w:rsidR="00267731" w:rsidRPr="002F5957" w:rsidRDefault="00267731" w:rsidP="00267731">
      <w:pPr>
        <w:tabs>
          <w:tab w:val="left" w:pos="142"/>
          <w:tab w:val="left" w:pos="567"/>
          <w:tab w:val="left" w:pos="8789"/>
        </w:tabs>
        <w:ind w:right="49"/>
        <w:jc w:val="both"/>
        <w:rPr>
          <w:rFonts w:ascii="Garamond" w:eastAsia="Garamond" w:hAnsi="Garamond" w:cs="Garamond"/>
          <w:color w:val="000000"/>
          <w:sz w:val="22"/>
          <w:szCs w:val="22"/>
        </w:rPr>
      </w:pPr>
      <w:r w:rsidRPr="002F5957">
        <w:rPr>
          <w:rFonts w:ascii="Garamond" w:eastAsia="Garamond" w:hAnsi="Garamond" w:cs="Garamond"/>
          <w:color w:val="000000"/>
          <w:sz w:val="22"/>
          <w:szCs w:val="22"/>
        </w:rPr>
        <w:t>Respecto al trimestre inmediatamente anterior, el Producto Interno Bruto en su serie ajustada por efecto estacional y calendario crece 0,6%. Cuando se observa el comportamiento de las actividades económicas relacionadas:</w:t>
      </w:r>
    </w:p>
    <w:p w14:paraId="71A79B72" w14:textId="77777777" w:rsidR="00267731" w:rsidRPr="002F5957" w:rsidRDefault="00267731" w:rsidP="00267731">
      <w:pPr>
        <w:tabs>
          <w:tab w:val="left" w:pos="142"/>
          <w:tab w:val="left" w:pos="567"/>
          <w:tab w:val="left" w:pos="8789"/>
        </w:tabs>
        <w:ind w:right="49"/>
        <w:jc w:val="both"/>
        <w:rPr>
          <w:rFonts w:ascii="Garamond" w:eastAsia="Garamond" w:hAnsi="Garamond" w:cs="Garamond"/>
          <w:color w:val="000000"/>
          <w:sz w:val="22"/>
          <w:szCs w:val="22"/>
        </w:rPr>
      </w:pPr>
    </w:p>
    <w:p w14:paraId="46035149" w14:textId="77777777" w:rsidR="00267731" w:rsidRPr="002F5957" w:rsidRDefault="00267731" w:rsidP="00267731">
      <w:pPr>
        <w:numPr>
          <w:ilvl w:val="0"/>
          <w:numId w:val="12"/>
        </w:numPr>
        <w:tabs>
          <w:tab w:val="left" w:pos="142"/>
          <w:tab w:val="left" w:pos="567"/>
          <w:tab w:val="left" w:pos="8789"/>
        </w:tabs>
        <w:ind w:right="49"/>
        <w:jc w:val="both"/>
        <w:rPr>
          <w:rFonts w:ascii="Garamond" w:eastAsia="Garamond" w:hAnsi="Garamond" w:cs="Garamond"/>
          <w:color w:val="000000"/>
          <w:sz w:val="22"/>
          <w:szCs w:val="22"/>
        </w:rPr>
      </w:pPr>
      <w:r w:rsidRPr="002F5957">
        <w:rPr>
          <w:rFonts w:ascii="Garamond" w:eastAsia="Garamond" w:hAnsi="Garamond" w:cs="Garamond"/>
          <w:color w:val="000000"/>
          <w:sz w:val="22"/>
          <w:szCs w:val="22"/>
        </w:rPr>
        <w:t>Industrias manufactureras crece 2,3%.</w:t>
      </w:r>
    </w:p>
    <w:p w14:paraId="08523484" w14:textId="77777777" w:rsidR="00267731" w:rsidRPr="002F5957" w:rsidRDefault="00267731" w:rsidP="00267731">
      <w:pPr>
        <w:numPr>
          <w:ilvl w:val="0"/>
          <w:numId w:val="12"/>
        </w:numPr>
        <w:tabs>
          <w:tab w:val="left" w:pos="142"/>
          <w:tab w:val="left" w:pos="567"/>
          <w:tab w:val="left" w:pos="8789"/>
        </w:tabs>
        <w:ind w:right="49"/>
        <w:jc w:val="both"/>
        <w:rPr>
          <w:rFonts w:ascii="Garamond" w:eastAsia="Garamond" w:hAnsi="Garamond" w:cs="Garamond"/>
          <w:color w:val="000000"/>
          <w:sz w:val="22"/>
          <w:szCs w:val="22"/>
        </w:rPr>
      </w:pPr>
      <w:r w:rsidRPr="002F5957">
        <w:rPr>
          <w:rFonts w:ascii="Garamond" w:eastAsia="Garamond" w:hAnsi="Garamond" w:cs="Garamond"/>
          <w:color w:val="000000"/>
          <w:sz w:val="22"/>
          <w:szCs w:val="22"/>
        </w:rPr>
        <w:t>Actividades financieras y de seguros crece 2,2%.</w:t>
      </w:r>
    </w:p>
    <w:p w14:paraId="54B55B02" w14:textId="77777777" w:rsidR="00267731" w:rsidRPr="002F5957" w:rsidRDefault="00267731" w:rsidP="00267731">
      <w:pPr>
        <w:numPr>
          <w:ilvl w:val="0"/>
          <w:numId w:val="12"/>
        </w:numPr>
        <w:tabs>
          <w:tab w:val="left" w:pos="142"/>
          <w:tab w:val="left" w:pos="567"/>
          <w:tab w:val="left" w:pos="8789"/>
        </w:tabs>
        <w:ind w:right="49"/>
        <w:jc w:val="both"/>
        <w:rPr>
          <w:rFonts w:ascii="Garamond" w:eastAsia="Garamond" w:hAnsi="Garamond" w:cs="Garamond"/>
          <w:color w:val="000000"/>
          <w:sz w:val="22"/>
          <w:szCs w:val="22"/>
        </w:rPr>
      </w:pPr>
      <w:r w:rsidRPr="002F5957">
        <w:rPr>
          <w:rFonts w:ascii="Garamond" w:eastAsia="Garamond" w:hAnsi="Garamond" w:cs="Garamond"/>
          <w:color w:val="000000"/>
          <w:sz w:val="22"/>
          <w:szCs w:val="22"/>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1,4%.</w:t>
      </w:r>
    </w:p>
    <w:p w14:paraId="4C713843" w14:textId="77777777" w:rsidR="00267731" w:rsidRPr="002F5957" w:rsidRDefault="00267731" w:rsidP="00267731">
      <w:pPr>
        <w:tabs>
          <w:tab w:val="left" w:pos="142"/>
          <w:tab w:val="left" w:pos="567"/>
          <w:tab w:val="left" w:pos="8789"/>
        </w:tabs>
        <w:ind w:right="49"/>
        <w:jc w:val="both"/>
        <w:rPr>
          <w:rFonts w:ascii="Garamond" w:eastAsia="Garamond" w:hAnsi="Garamond" w:cs="Garamond"/>
          <w:color w:val="000000"/>
          <w:sz w:val="22"/>
          <w:szCs w:val="22"/>
        </w:rPr>
      </w:pPr>
    </w:p>
    <w:p w14:paraId="2E8848B1" w14:textId="77777777" w:rsidR="00267731" w:rsidRPr="002F5957" w:rsidRDefault="00267731" w:rsidP="00267731">
      <w:pPr>
        <w:tabs>
          <w:tab w:val="left" w:pos="142"/>
          <w:tab w:val="left" w:pos="567"/>
          <w:tab w:val="left" w:pos="8789"/>
        </w:tabs>
        <w:ind w:right="49"/>
        <w:jc w:val="both"/>
        <w:rPr>
          <w:rFonts w:ascii="Garamond" w:eastAsia="Garamond" w:hAnsi="Garamond" w:cs="Garamond"/>
          <w:color w:val="000000"/>
          <w:sz w:val="22"/>
          <w:szCs w:val="22"/>
        </w:rPr>
      </w:pPr>
    </w:p>
    <w:p w14:paraId="3D598CC9" w14:textId="77777777" w:rsidR="00267731" w:rsidRPr="002F5957" w:rsidRDefault="00267731" w:rsidP="00267731">
      <w:pPr>
        <w:tabs>
          <w:tab w:val="left" w:pos="142"/>
          <w:tab w:val="left" w:pos="567"/>
          <w:tab w:val="left" w:pos="8789"/>
        </w:tabs>
        <w:ind w:right="49"/>
        <w:jc w:val="both"/>
        <w:rPr>
          <w:rFonts w:ascii="Garamond" w:eastAsia="Calibri" w:hAnsi="Garamond" w:cs="Arial"/>
          <w:b/>
          <w:bCs/>
          <w:sz w:val="22"/>
          <w:szCs w:val="22"/>
        </w:rPr>
      </w:pPr>
      <w:r w:rsidRPr="002F5957">
        <w:rPr>
          <w:rFonts w:ascii="Garamond" w:eastAsia="Calibri" w:hAnsi="Garamond" w:cs="Arial"/>
          <w:b/>
          <w:bCs/>
          <w:sz w:val="22"/>
          <w:szCs w:val="22"/>
        </w:rPr>
        <w:t>2.5.2. PIB DESDE EL ENFOQUE DE GASTO</w:t>
      </w:r>
    </w:p>
    <w:p w14:paraId="2F7AD6BC"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p>
    <w:p w14:paraId="168CAA5D"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r w:rsidRPr="002F5957">
        <w:rPr>
          <w:rFonts w:ascii="Garamond" w:eastAsia="Calibri" w:hAnsi="Garamond" w:cs="Arial"/>
          <w:sz w:val="22"/>
          <w:szCs w:val="22"/>
        </w:rPr>
        <w:t>En el primer trimestre de 2026pr, el Producto Interno Bruto en su serie original crece 2,2% respecto al mismo periodo de 2025pr. Esta dinámica se explica por los siguientes comportamientos del componente del gasto (ver tabla 14):</w:t>
      </w:r>
    </w:p>
    <w:p w14:paraId="2D7070E0"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p>
    <w:p w14:paraId="4DA718F7"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r w:rsidRPr="002F5957">
        <w:rPr>
          <w:rFonts w:ascii="Garamond" w:eastAsia="Calibri" w:hAnsi="Garamond" w:cs="Arial"/>
          <w:sz w:val="22"/>
          <w:szCs w:val="22"/>
        </w:rPr>
        <w:t>• Gasto en consumo final crece 3,4%.</w:t>
      </w:r>
    </w:p>
    <w:p w14:paraId="1E75A289"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r w:rsidRPr="002F5957">
        <w:rPr>
          <w:rFonts w:ascii="Garamond" w:eastAsia="Calibri" w:hAnsi="Garamond" w:cs="Arial"/>
          <w:sz w:val="22"/>
          <w:szCs w:val="22"/>
        </w:rPr>
        <w:t xml:space="preserve"> • Formación bruta de capital decrece 3,0%.</w:t>
      </w:r>
    </w:p>
    <w:p w14:paraId="21E91D57"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r w:rsidRPr="002F5957">
        <w:rPr>
          <w:rFonts w:ascii="Garamond" w:eastAsia="Calibri" w:hAnsi="Garamond" w:cs="Arial"/>
          <w:sz w:val="22"/>
          <w:szCs w:val="22"/>
        </w:rPr>
        <w:t xml:space="preserve"> • Exportaciones crecen 3,5%. </w:t>
      </w:r>
    </w:p>
    <w:p w14:paraId="07175598"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r w:rsidRPr="002F5957">
        <w:rPr>
          <w:rFonts w:ascii="Garamond" w:eastAsia="Calibri" w:hAnsi="Garamond" w:cs="Arial"/>
          <w:sz w:val="22"/>
          <w:szCs w:val="22"/>
        </w:rPr>
        <w:t xml:space="preserve">• Importaciones crecen 3,5%. </w:t>
      </w:r>
    </w:p>
    <w:p w14:paraId="253B6A88"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p>
    <w:p w14:paraId="7372B3BA"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r w:rsidRPr="002F5957">
        <w:rPr>
          <w:rFonts w:ascii="Garamond" w:eastAsia="Calibri" w:hAnsi="Garamond" w:cs="Arial"/>
          <w:sz w:val="22"/>
          <w:szCs w:val="22"/>
        </w:rPr>
        <w:t>Respecto al trimestre inmediatamente anterior, el Producto Interno Bruto crece en 0,6%, en su serie ajustada por efecto estacional y calendario. Cuando se observa el comportamiento de sus componentes:</w:t>
      </w:r>
    </w:p>
    <w:p w14:paraId="1265DBFC"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p>
    <w:p w14:paraId="68B51E4C"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r w:rsidRPr="002F5957">
        <w:rPr>
          <w:rFonts w:ascii="Garamond" w:eastAsia="Calibri" w:hAnsi="Garamond" w:cs="Arial"/>
          <w:sz w:val="22"/>
          <w:szCs w:val="22"/>
        </w:rPr>
        <w:t xml:space="preserve"> • Gasto en consumo final crece 0,7%.</w:t>
      </w:r>
    </w:p>
    <w:p w14:paraId="07583BF4"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r w:rsidRPr="002F5957">
        <w:rPr>
          <w:rFonts w:ascii="Garamond" w:eastAsia="Calibri" w:hAnsi="Garamond" w:cs="Arial"/>
          <w:sz w:val="22"/>
          <w:szCs w:val="22"/>
        </w:rPr>
        <w:t xml:space="preserve"> • Formación bruta de capital crece 5,5%. </w:t>
      </w:r>
    </w:p>
    <w:p w14:paraId="5F00BA28"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r w:rsidRPr="002F5957">
        <w:rPr>
          <w:rFonts w:ascii="Garamond" w:eastAsia="Calibri" w:hAnsi="Garamond" w:cs="Arial"/>
          <w:sz w:val="22"/>
          <w:szCs w:val="22"/>
        </w:rPr>
        <w:t xml:space="preserve">• Exportaciones decrecen 1,7%. </w:t>
      </w:r>
    </w:p>
    <w:p w14:paraId="39F28B6A"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r w:rsidRPr="002F5957">
        <w:rPr>
          <w:rFonts w:ascii="Garamond" w:eastAsia="Calibri" w:hAnsi="Garamond" w:cs="Arial"/>
          <w:sz w:val="22"/>
          <w:szCs w:val="22"/>
        </w:rPr>
        <w:t>• Importaciones crecen 1,4%</w:t>
      </w:r>
    </w:p>
    <w:p w14:paraId="28DB3727"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p>
    <w:p w14:paraId="7CDF9E3E"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p>
    <w:p w14:paraId="29C6B0E1"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p>
    <w:p w14:paraId="467C610F"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p>
    <w:p w14:paraId="2CA45491" w14:textId="77777777" w:rsidR="00267731" w:rsidRPr="002F5957" w:rsidRDefault="00267731" w:rsidP="00267731">
      <w:pPr>
        <w:tabs>
          <w:tab w:val="left" w:pos="142"/>
          <w:tab w:val="left" w:pos="567"/>
          <w:tab w:val="left" w:pos="8789"/>
        </w:tabs>
        <w:ind w:right="49"/>
        <w:jc w:val="center"/>
        <w:rPr>
          <w:rFonts w:ascii="Garamond" w:eastAsia="Calibri" w:hAnsi="Garamond" w:cs="Arial"/>
          <w:sz w:val="22"/>
          <w:szCs w:val="22"/>
        </w:rPr>
      </w:pPr>
    </w:p>
    <w:p w14:paraId="374D0988" w14:textId="77777777" w:rsidR="00267731" w:rsidRPr="002F5957" w:rsidRDefault="00267731" w:rsidP="00267731">
      <w:pPr>
        <w:tabs>
          <w:tab w:val="left" w:pos="142"/>
          <w:tab w:val="left" w:pos="567"/>
          <w:tab w:val="left" w:pos="8789"/>
        </w:tabs>
        <w:ind w:right="49"/>
        <w:jc w:val="center"/>
        <w:rPr>
          <w:rFonts w:ascii="Garamond" w:eastAsia="Calibri" w:hAnsi="Garamond" w:cs="Arial"/>
          <w:sz w:val="22"/>
          <w:szCs w:val="22"/>
        </w:rPr>
      </w:pPr>
      <w:r w:rsidRPr="002F5957">
        <w:rPr>
          <w:rFonts w:ascii="Garamond" w:eastAsia="Calibri" w:hAnsi="Garamond" w:cs="Arial"/>
          <w:noProof/>
          <w:sz w:val="22"/>
          <w:szCs w:val="22"/>
        </w:rPr>
        <w:lastRenderedPageBreak/>
        <w:drawing>
          <wp:inline distT="0" distB="0" distL="0" distR="0" wp14:anchorId="5BFCCA0A" wp14:editId="0BDFB748">
            <wp:extent cx="4867274" cy="4061637"/>
            <wp:effectExtent l="0" t="0" r="0" b="0"/>
            <wp:docPr id="15028014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801462" name=""/>
                    <pic:cNvPicPr/>
                  </pic:nvPicPr>
                  <pic:blipFill>
                    <a:blip r:embed="rId17"/>
                    <a:stretch>
                      <a:fillRect/>
                    </a:stretch>
                  </pic:blipFill>
                  <pic:spPr>
                    <a:xfrm>
                      <a:off x="0" y="0"/>
                      <a:ext cx="4873051" cy="4066458"/>
                    </a:xfrm>
                    <a:prstGeom prst="rect">
                      <a:avLst/>
                    </a:prstGeom>
                  </pic:spPr>
                </pic:pic>
              </a:graphicData>
            </a:graphic>
          </wp:inline>
        </w:drawing>
      </w:r>
    </w:p>
    <w:p w14:paraId="21736B7E"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p>
    <w:p w14:paraId="63EF8661" w14:textId="77777777" w:rsidR="00267731" w:rsidRPr="002F5957" w:rsidRDefault="00267731" w:rsidP="00267731">
      <w:pPr>
        <w:pStyle w:val="Prrafodelista"/>
        <w:numPr>
          <w:ilvl w:val="0"/>
          <w:numId w:val="8"/>
        </w:numPr>
        <w:tabs>
          <w:tab w:val="left" w:pos="142"/>
          <w:tab w:val="left" w:pos="567"/>
          <w:tab w:val="left" w:pos="8789"/>
        </w:tabs>
        <w:spacing w:after="0" w:line="240" w:lineRule="auto"/>
        <w:ind w:right="49"/>
        <w:jc w:val="both"/>
        <w:rPr>
          <w:rFonts w:ascii="Garamond" w:hAnsi="Garamond" w:cs="Arial"/>
          <w:b/>
          <w:bCs/>
        </w:rPr>
      </w:pPr>
      <w:r w:rsidRPr="002F5957">
        <w:rPr>
          <w:rFonts w:ascii="Garamond" w:hAnsi="Garamond" w:cs="Arial"/>
          <w:b/>
          <w:bCs/>
        </w:rPr>
        <w:t xml:space="preserve">Proyecciones de crecimiento del PIB para 2026 y 2027 </w:t>
      </w:r>
    </w:p>
    <w:p w14:paraId="77032D9F" w14:textId="77777777" w:rsidR="00267731" w:rsidRPr="002F5957" w:rsidRDefault="00267731" w:rsidP="00267731">
      <w:pPr>
        <w:tabs>
          <w:tab w:val="left" w:pos="142"/>
          <w:tab w:val="left" w:pos="567"/>
          <w:tab w:val="left" w:pos="8789"/>
        </w:tabs>
        <w:ind w:right="49"/>
        <w:jc w:val="both"/>
        <w:rPr>
          <w:rFonts w:ascii="Garamond" w:eastAsia="Calibri" w:hAnsi="Garamond" w:cs="Arial"/>
          <w:b/>
          <w:bCs/>
          <w:sz w:val="22"/>
          <w:szCs w:val="22"/>
          <w:highlight w:val="yellow"/>
        </w:rPr>
      </w:pPr>
    </w:p>
    <w:p w14:paraId="4FFA2CAA" w14:textId="77777777" w:rsidR="00267731" w:rsidRPr="002F5957" w:rsidRDefault="00267731" w:rsidP="00267731">
      <w:pPr>
        <w:tabs>
          <w:tab w:val="left" w:pos="142"/>
          <w:tab w:val="left" w:pos="567"/>
          <w:tab w:val="left" w:pos="8789"/>
        </w:tabs>
        <w:ind w:right="49"/>
        <w:jc w:val="both"/>
        <w:rPr>
          <w:rFonts w:ascii="Garamond" w:hAnsi="Garamond" w:cs="Arial"/>
          <w:sz w:val="22"/>
          <w:szCs w:val="22"/>
        </w:rPr>
      </w:pPr>
      <w:r w:rsidRPr="002F5957">
        <w:rPr>
          <w:rFonts w:ascii="Garamond" w:hAnsi="Garamond" w:cs="Arial"/>
          <w:sz w:val="22"/>
          <w:szCs w:val="22"/>
        </w:rPr>
        <w:t>La economía crecerá un 2,8% este año, un 2,8% en 2026 y un 2,9% en 2027. La inversión reanudará su recuperación gradual y parcial a medida que las condiciones financieras se relajen, pero la incertidumbre la mantendrá contenida. El consumo privado se mantendrá gracias a una menor inflación, un mercado laboral fuerte y remesas robustas. El sector externo contribuirá menos, ya que las exportaciones de petróleo y minería están limitadas por la producción nacional y los bajos precios del petróleo, y las importaciones son fuertes. Se espera que la inflación baje, pero se mantenga por encima del objetivo del 3% hasta 2027.</w:t>
      </w:r>
    </w:p>
    <w:p w14:paraId="4B9051FF" w14:textId="77777777" w:rsidR="00267731" w:rsidRPr="002F5957" w:rsidRDefault="00267731" w:rsidP="00267731">
      <w:pPr>
        <w:tabs>
          <w:tab w:val="left" w:pos="142"/>
          <w:tab w:val="left" w:pos="567"/>
          <w:tab w:val="left" w:pos="8789"/>
        </w:tabs>
        <w:ind w:right="49"/>
        <w:jc w:val="both"/>
        <w:rPr>
          <w:rFonts w:ascii="Garamond" w:hAnsi="Garamond" w:cs="Arial"/>
          <w:sz w:val="22"/>
          <w:szCs w:val="22"/>
        </w:rPr>
      </w:pPr>
    </w:p>
    <w:p w14:paraId="7AA66E1D" w14:textId="77777777" w:rsidR="00267731" w:rsidRPr="002F5957" w:rsidRDefault="00267731" w:rsidP="00267731">
      <w:pPr>
        <w:tabs>
          <w:tab w:val="left" w:pos="142"/>
          <w:tab w:val="left" w:pos="567"/>
          <w:tab w:val="left" w:pos="8789"/>
        </w:tabs>
        <w:ind w:right="49"/>
        <w:jc w:val="both"/>
        <w:rPr>
          <w:rFonts w:ascii="Garamond" w:hAnsi="Garamond" w:cs="Arial"/>
          <w:sz w:val="22"/>
          <w:szCs w:val="22"/>
        </w:rPr>
      </w:pPr>
      <w:r w:rsidRPr="002F5957">
        <w:rPr>
          <w:rFonts w:ascii="Garamond" w:hAnsi="Garamond" w:cs="Arial"/>
          <w:sz w:val="22"/>
          <w:szCs w:val="22"/>
        </w:rPr>
        <w:t>Se proyecta que la política monetaria será estricta para asegurar el retorno de la inflación al objetivo. Aunque la consolidación fiscal se reanudará, se prevé que los déficits fiscales se mantendrán muy por encima del 4% del PIB a medida que la regla fiscal sigue suspendida. Para estabilizar la deuda y restaurar la confianza de los inversores, se necesita una estrategia de consolidación más ambiciosa, que incluya una reforma fiscal integral y la reducción de las rigideces presupuestarias. El regreso a la regla fiscal y el restablecimiento de un ancla creíble de deuda a medio plazo también serán clave.</w:t>
      </w:r>
    </w:p>
    <w:p w14:paraId="5DDB3D81" w14:textId="77777777" w:rsidR="00267731" w:rsidRPr="002F5957" w:rsidRDefault="00267731" w:rsidP="00267731">
      <w:pPr>
        <w:tabs>
          <w:tab w:val="left" w:pos="142"/>
          <w:tab w:val="left" w:pos="567"/>
          <w:tab w:val="left" w:pos="8789"/>
        </w:tabs>
        <w:ind w:right="49"/>
        <w:jc w:val="both"/>
        <w:rPr>
          <w:rFonts w:ascii="Garamond" w:eastAsia="Calibri" w:hAnsi="Garamond" w:cs="Arial"/>
          <w:sz w:val="22"/>
          <w:szCs w:val="22"/>
        </w:rPr>
      </w:pPr>
    </w:p>
    <w:p w14:paraId="3ED35827" w14:textId="77777777" w:rsidR="00267731" w:rsidRPr="002F5957" w:rsidRDefault="00267731" w:rsidP="00267731">
      <w:pPr>
        <w:spacing w:after="160" w:line="259" w:lineRule="auto"/>
        <w:jc w:val="center"/>
        <w:rPr>
          <w:rFonts w:ascii="Garamond" w:eastAsia="Calibri" w:hAnsi="Garamond" w:cs="Arial"/>
          <w:sz w:val="22"/>
          <w:szCs w:val="22"/>
          <w:highlight w:val="yellow"/>
        </w:rPr>
      </w:pPr>
      <w:r w:rsidRPr="002F5957">
        <w:rPr>
          <w:rFonts w:ascii="Garamond" w:eastAsia="Calibri" w:hAnsi="Garamond" w:cs="Arial"/>
          <w:noProof/>
          <w:sz w:val="22"/>
          <w:szCs w:val="22"/>
        </w:rPr>
        <w:lastRenderedPageBreak/>
        <w:drawing>
          <wp:inline distT="0" distB="0" distL="0" distR="0" wp14:anchorId="2086E9E0" wp14:editId="72C6E9FF">
            <wp:extent cx="5580758" cy="4412512"/>
            <wp:effectExtent l="0" t="0" r="1270" b="7620"/>
            <wp:docPr id="188067754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677547" name="Imagen 1" descr="Tabla&#10;&#10;El contenido generado por IA puede ser incorrecto."/>
                    <pic:cNvPicPr/>
                  </pic:nvPicPr>
                  <pic:blipFill>
                    <a:blip r:embed="rId18"/>
                    <a:stretch>
                      <a:fillRect/>
                    </a:stretch>
                  </pic:blipFill>
                  <pic:spPr>
                    <a:xfrm>
                      <a:off x="0" y="0"/>
                      <a:ext cx="5585241" cy="4416056"/>
                    </a:xfrm>
                    <a:prstGeom prst="rect">
                      <a:avLst/>
                    </a:prstGeom>
                  </pic:spPr>
                </pic:pic>
              </a:graphicData>
            </a:graphic>
          </wp:inline>
        </w:drawing>
      </w:r>
    </w:p>
    <w:p w14:paraId="4CE9A549" w14:textId="77777777" w:rsidR="00267731" w:rsidRPr="002F5957" w:rsidRDefault="00267731" w:rsidP="00267731">
      <w:pPr>
        <w:jc w:val="center"/>
        <w:rPr>
          <w:rFonts w:ascii="Garamond" w:eastAsia="Calibri" w:hAnsi="Garamond" w:cs="Arial"/>
          <w:sz w:val="22"/>
          <w:szCs w:val="22"/>
        </w:rPr>
      </w:pPr>
      <w:r w:rsidRPr="002F5957">
        <w:rPr>
          <w:rFonts w:ascii="Garamond" w:eastAsia="Calibri" w:hAnsi="Garamond" w:cs="Arial"/>
          <w:sz w:val="22"/>
          <w:szCs w:val="22"/>
        </w:rPr>
        <w:t>Fuente: Perspectivas Económicas de la OCDE Foco en América Latina</w:t>
      </w:r>
    </w:p>
    <w:p w14:paraId="5047DCA5"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Este análisis considera la incidencia de dichas variables en las cadenas de abastecimiento, producción, comercialización y distribución de los bienes requeridos en los diferentes lotes del proceso, teniendo en cuenta tanto los efectos que pueden representar riesgos como aquellos que constituyen oportunidades para la ejecución contractual.</w:t>
      </w:r>
    </w:p>
    <w:p w14:paraId="46EADCC6" w14:textId="77777777" w:rsidR="003E1ED2" w:rsidRPr="002F5957" w:rsidRDefault="003E1ED2" w:rsidP="003E1ED2">
      <w:pPr>
        <w:spacing w:line="269" w:lineRule="exact"/>
        <w:ind w:right="-38"/>
        <w:jc w:val="both"/>
        <w:rPr>
          <w:rFonts w:ascii="Garamond" w:eastAsia="Droid Sans" w:hAnsi="Garamond" w:cs="Arial"/>
          <w:sz w:val="22"/>
          <w:szCs w:val="22"/>
          <w:lang w:bidi="hi-IN"/>
        </w:rPr>
      </w:pPr>
    </w:p>
    <w:p w14:paraId="111B3598" w14:textId="77777777" w:rsidR="003E1ED2" w:rsidRPr="002F5957" w:rsidRDefault="003E1ED2" w:rsidP="003E1ED2">
      <w:pPr>
        <w:spacing w:line="269" w:lineRule="exact"/>
        <w:ind w:right="-38"/>
        <w:jc w:val="both"/>
        <w:rPr>
          <w:rFonts w:ascii="Garamond" w:eastAsia="Droid Sans" w:hAnsi="Garamond" w:cs="Arial"/>
          <w:b/>
          <w:bCs/>
          <w:sz w:val="22"/>
          <w:szCs w:val="22"/>
          <w:lang w:bidi="hi-IN"/>
        </w:rPr>
      </w:pPr>
      <w:r w:rsidRPr="002F5957">
        <w:rPr>
          <w:rFonts w:ascii="Garamond" w:eastAsia="Droid Sans" w:hAnsi="Garamond" w:cs="Arial"/>
          <w:b/>
          <w:bCs/>
          <w:sz w:val="22"/>
          <w:szCs w:val="22"/>
          <w:lang w:bidi="hi-IN"/>
        </w:rPr>
        <w:t>Inflación (Índice de Precios al Consumidor - IPC):</w:t>
      </w:r>
    </w:p>
    <w:p w14:paraId="5BE3D0BF" w14:textId="77777777" w:rsidR="003E1ED2" w:rsidRPr="002F5957" w:rsidRDefault="003E1ED2" w:rsidP="003E1ED2">
      <w:pPr>
        <w:spacing w:line="269" w:lineRule="exact"/>
        <w:ind w:right="-38"/>
        <w:jc w:val="both"/>
        <w:rPr>
          <w:rFonts w:ascii="Garamond" w:eastAsia="Droid Sans" w:hAnsi="Garamond" w:cs="Arial"/>
          <w:sz w:val="22"/>
          <w:szCs w:val="22"/>
          <w:lang w:bidi="hi-IN"/>
        </w:rPr>
      </w:pPr>
    </w:p>
    <w:p w14:paraId="4DCC28FF"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Para marzo de 2026, la inflación anual en Colombia se ubicó en 5,56%, con una variación año corrido de 3,07%, evidenciando una tendencia de moderación frente a periodos anteriores, aunque aún por encima de la meta del 3% establecida por el Banco de la República.</w:t>
      </w:r>
    </w:p>
    <w:p w14:paraId="2C4D90E9"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El comportamiento del IPC ha estado influenciado principalmente por incrementos en divisiones como alimentos, servicios, muebles, artículos para el hogar y recreación, las cuales guardan relación directa con varios de los bienes objeto del contrato.</w:t>
      </w:r>
    </w:p>
    <w:p w14:paraId="36BCFF0E"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 xml:space="preserve">En este contexto, la inflación puede generar presiones al alza en los precios de bienes como papelería, insumos educativos, materiales culturales, deportivos y equipos tecnológicos, lo que incide en la estructuración del presupuesto oficial. No obstante, la tendencia descendente proyectada de la inflación </w:t>
      </w:r>
      <w:r w:rsidRPr="002F5957">
        <w:rPr>
          <w:rFonts w:ascii="Garamond" w:eastAsia="Droid Sans" w:hAnsi="Garamond" w:cs="Arial"/>
          <w:sz w:val="22"/>
          <w:szCs w:val="22"/>
          <w:lang w:bidi="hi-IN"/>
        </w:rPr>
        <w:lastRenderedPageBreak/>
        <w:t>favorece la estabilidad de precios durante la ejecución contractual, permitiendo mayor previsibilidad en los costos y reduciendo la probabilidad de incrementos abruptos en los valores ofertados.</w:t>
      </w:r>
    </w:p>
    <w:p w14:paraId="0B918FB6" w14:textId="77777777" w:rsidR="003E1ED2" w:rsidRPr="002F5957" w:rsidRDefault="003E1ED2" w:rsidP="003E1ED2">
      <w:pPr>
        <w:spacing w:line="269" w:lineRule="exact"/>
        <w:ind w:right="-38"/>
        <w:jc w:val="both"/>
        <w:rPr>
          <w:rFonts w:ascii="Garamond" w:eastAsia="Droid Sans" w:hAnsi="Garamond" w:cs="Arial"/>
          <w:sz w:val="22"/>
          <w:szCs w:val="22"/>
          <w:lang w:bidi="hi-IN"/>
        </w:rPr>
      </w:pPr>
    </w:p>
    <w:p w14:paraId="6A42E180" w14:textId="77777777" w:rsidR="003E1ED2" w:rsidRPr="002F5957" w:rsidRDefault="003E1ED2" w:rsidP="003E1ED2">
      <w:pPr>
        <w:spacing w:line="269" w:lineRule="exact"/>
        <w:ind w:right="-38"/>
        <w:jc w:val="both"/>
        <w:rPr>
          <w:rFonts w:ascii="Garamond" w:eastAsia="Droid Sans" w:hAnsi="Garamond" w:cs="Arial"/>
          <w:b/>
          <w:bCs/>
          <w:sz w:val="22"/>
          <w:szCs w:val="22"/>
          <w:lang w:bidi="hi-IN"/>
        </w:rPr>
      </w:pPr>
      <w:r w:rsidRPr="002F5957">
        <w:rPr>
          <w:rFonts w:ascii="Garamond" w:eastAsia="Droid Sans" w:hAnsi="Garamond" w:cs="Arial"/>
          <w:b/>
          <w:bCs/>
          <w:sz w:val="22"/>
          <w:szCs w:val="22"/>
          <w:lang w:bidi="hi-IN"/>
        </w:rPr>
        <w:t>Tipo de cambio:</w:t>
      </w:r>
    </w:p>
    <w:p w14:paraId="22D1E808" w14:textId="77777777" w:rsidR="003E1ED2" w:rsidRPr="002F5957" w:rsidRDefault="003E1ED2" w:rsidP="003E1ED2">
      <w:pPr>
        <w:spacing w:line="269" w:lineRule="exact"/>
        <w:ind w:right="-38"/>
        <w:jc w:val="both"/>
        <w:rPr>
          <w:rFonts w:ascii="Garamond" w:eastAsia="Droid Sans" w:hAnsi="Garamond" w:cs="Arial"/>
          <w:b/>
          <w:bCs/>
          <w:sz w:val="22"/>
          <w:szCs w:val="22"/>
          <w:lang w:bidi="hi-IN"/>
        </w:rPr>
      </w:pPr>
    </w:p>
    <w:p w14:paraId="69BF5066"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Durante 2025 y comienzos de 2026, el tipo de cambio en Colombia ha presentado episodios de volatilidad, manteniéndose en niveles relativamente altos frente a su promedio histórico, debido a factores como las condiciones financieras internacionales, los precios del petróleo y el contexto fiscal interno.</w:t>
      </w:r>
    </w:p>
    <w:p w14:paraId="6B7C3C8F"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Esta situación tiene una incidencia directa en los bienes que dependen de importaciones, particularmente en los lotes tecnológicos y audiovisuales, tales como computadores, proyectores, cámaras y equipos electrónicos, generando posibles incrementos en sus costos de adquisición.</w:t>
      </w:r>
    </w:p>
    <w:p w14:paraId="182C1C2F"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Sin embargo, este mismo comportamiento también incentiva la participación de proveedores nacionales, ensambladores y distribuidores locales, fortaleciendo la oferta interna y promoviendo mayor competencia en el mercado. En consecuencia, aunque existe un riesgo de variación en precios, también se configura un escenario favorable para la diversificación de oferentes y la optimización de condiciones económicas a través de la subasta inversa.</w:t>
      </w:r>
    </w:p>
    <w:p w14:paraId="6F41EFA4" w14:textId="77777777" w:rsidR="003E1ED2" w:rsidRPr="002F5957" w:rsidRDefault="003E1ED2" w:rsidP="003E1ED2">
      <w:pPr>
        <w:spacing w:line="269" w:lineRule="exact"/>
        <w:ind w:right="-38"/>
        <w:jc w:val="both"/>
        <w:rPr>
          <w:rFonts w:ascii="Garamond" w:eastAsia="Droid Sans" w:hAnsi="Garamond" w:cs="Arial"/>
          <w:sz w:val="22"/>
          <w:szCs w:val="22"/>
          <w:lang w:bidi="hi-IN"/>
        </w:rPr>
      </w:pPr>
    </w:p>
    <w:p w14:paraId="4F936C1A" w14:textId="77777777" w:rsidR="003E1ED2" w:rsidRPr="002F5957" w:rsidRDefault="003E1ED2" w:rsidP="003E1ED2">
      <w:pPr>
        <w:spacing w:line="269" w:lineRule="exact"/>
        <w:ind w:right="-38"/>
        <w:jc w:val="both"/>
        <w:rPr>
          <w:rFonts w:ascii="Garamond" w:eastAsia="Droid Sans" w:hAnsi="Garamond" w:cs="Arial"/>
          <w:b/>
          <w:bCs/>
          <w:sz w:val="22"/>
          <w:szCs w:val="22"/>
          <w:lang w:bidi="hi-IN"/>
        </w:rPr>
      </w:pPr>
      <w:r w:rsidRPr="002F5957">
        <w:rPr>
          <w:rFonts w:ascii="Garamond" w:eastAsia="Droid Sans" w:hAnsi="Garamond" w:cs="Arial"/>
          <w:b/>
          <w:bCs/>
          <w:sz w:val="22"/>
          <w:szCs w:val="22"/>
          <w:lang w:bidi="hi-IN"/>
        </w:rPr>
        <w:t>Condiciones logísticas y de transporte:</w:t>
      </w:r>
    </w:p>
    <w:p w14:paraId="65A6EF4B" w14:textId="77777777" w:rsidR="003E1ED2" w:rsidRPr="002F5957" w:rsidRDefault="003E1ED2" w:rsidP="003E1ED2">
      <w:pPr>
        <w:spacing w:line="269" w:lineRule="exact"/>
        <w:ind w:right="-38"/>
        <w:jc w:val="both"/>
        <w:rPr>
          <w:rFonts w:ascii="Garamond" w:eastAsia="Droid Sans" w:hAnsi="Garamond" w:cs="Arial"/>
          <w:sz w:val="22"/>
          <w:szCs w:val="22"/>
          <w:lang w:bidi="hi-IN"/>
        </w:rPr>
      </w:pPr>
    </w:p>
    <w:p w14:paraId="503705E2"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El Índice de Costos del Transporte de Carga (ICTC) durante 2025 y comienzos de 2026 ha mostrado variaciones moderadas, con incrementos asociados principalmente a peajes, mantenimiento y costos operativos, mientras que los precios de combustibles han presentado relativa estabilidad.</w:t>
      </w:r>
    </w:p>
    <w:p w14:paraId="69E98FAF"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Dado que el objeto contractual implica el suministro de bienes físicos correspondientes a múltiples categorías, esta variable incide directamente en los costos de distribución y entrega, especialmente en territorios con condiciones geográficas complejas como la localidad de Ciudad Bolívar.</w:t>
      </w:r>
    </w:p>
    <w:p w14:paraId="403A0B95"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En este sentido, si bien pueden presentarse incrementos en los costos logísticos y tiempos de entrega, también se evidencia una mayor capacidad de planificación y eficiencia por parte de los proveedores, quienes han ajustado sus operaciones a las condiciones del mercado, lo que contribuye a mitigar riesgos y garantizar el cumplimiento oportuno del contrato.</w:t>
      </w:r>
    </w:p>
    <w:p w14:paraId="0DDB3942" w14:textId="77777777" w:rsidR="003E1ED2" w:rsidRPr="002F5957" w:rsidRDefault="003E1ED2" w:rsidP="003E1ED2">
      <w:pPr>
        <w:spacing w:line="269" w:lineRule="exact"/>
        <w:ind w:right="-38"/>
        <w:jc w:val="both"/>
        <w:rPr>
          <w:rFonts w:ascii="Garamond" w:eastAsia="Droid Sans" w:hAnsi="Garamond" w:cs="Arial"/>
          <w:sz w:val="22"/>
          <w:szCs w:val="22"/>
          <w:lang w:bidi="hi-IN"/>
        </w:rPr>
      </w:pPr>
    </w:p>
    <w:p w14:paraId="2E30628F" w14:textId="77777777" w:rsidR="003E1ED2" w:rsidRPr="002F5957" w:rsidRDefault="003E1ED2" w:rsidP="003E1ED2">
      <w:pPr>
        <w:spacing w:line="269" w:lineRule="exact"/>
        <w:ind w:right="-38"/>
        <w:jc w:val="both"/>
        <w:rPr>
          <w:rFonts w:ascii="Garamond" w:eastAsia="Droid Sans" w:hAnsi="Garamond" w:cs="Arial"/>
          <w:b/>
          <w:bCs/>
          <w:sz w:val="22"/>
          <w:szCs w:val="22"/>
          <w:lang w:bidi="hi-IN"/>
        </w:rPr>
      </w:pPr>
      <w:r w:rsidRPr="002F5957">
        <w:rPr>
          <w:rFonts w:ascii="Garamond" w:eastAsia="Droid Sans" w:hAnsi="Garamond" w:cs="Arial"/>
          <w:b/>
          <w:bCs/>
          <w:sz w:val="22"/>
          <w:szCs w:val="22"/>
          <w:lang w:bidi="hi-IN"/>
        </w:rPr>
        <w:t>Crecimiento económico y dinámica del sector:</w:t>
      </w:r>
    </w:p>
    <w:p w14:paraId="1141C9AA" w14:textId="77777777" w:rsidR="003E1ED2" w:rsidRPr="002F5957" w:rsidRDefault="003E1ED2" w:rsidP="003E1ED2">
      <w:pPr>
        <w:spacing w:line="269" w:lineRule="exact"/>
        <w:ind w:right="-38"/>
        <w:jc w:val="both"/>
        <w:rPr>
          <w:rFonts w:ascii="Garamond" w:eastAsia="Droid Sans" w:hAnsi="Garamond" w:cs="Arial"/>
          <w:b/>
          <w:bCs/>
          <w:sz w:val="22"/>
          <w:szCs w:val="22"/>
          <w:lang w:bidi="hi-IN"/>
        </w:rPr>
      </w:pPr>
    </w:p>
    <w:p w14:paraId="23E23DB3"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De acuerdo con el DANE y la OCDE, la economía colombiana registró un crecimiento aproximado del 2,6% en 2025, con una proyección cercana al 2,8% para 2026, reflejando una recuperación gradual de la actividad económica.</w:t>
      </w:r>
    </w:p>
    <w:p w14:paraId="3965C5AF"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Los sectores con mayor dinamismo corresponden al comercio, servicios, actividades culturales y recreativas, los cuales están directamente relacionados con el objeto del presente proceso contractual.</w:t>
      </w:r>
    </w:p>
    <w:p w14:paraId="105D9342"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Este comportamiento favorece la ejecución del contrato al generar mayor disponibilidad de bienes, fortalecimiento de la oferta y aumento en la competencia entre proveedores. No obstante, el crecimiento moderado y la persistencia de ciertos niveles de incertidumbre fiscal pueden limitar la expansión acelerada del mercado, aunque sin representar una afectación significativa para el proceso.</w:t>
      </w:r>
    </w:p>
    <w:p w14:paraId="70E705CB" w14:textId="77777777" w:rsidR="003E1ED2" w:rsidRPr="002F5957" w:rsidRDefault="003E1ED2" w:rsidP="003E1ED2">
      <w:pPr>
        <w:spacing w:line="269" w:lineRule="exact"/>
        <w:ind w:right="-38"/>
        <w:jc w:val="both"/>
        <w:rPr>
          <w:rFonts w:ascii="Garamond" w:eastAsia="Droid Sans" w:hAnsi="Garamond" w:cs="Arial"/>
          <w:sz w:val="22"/>
          <w:szCs w:val="22"/>
          <w:lang w:bidi="hi-IN"/>
        </w:rPr>
      </w:pPr>
    </w:p>
    <w:p w14:paraId="69D62D23" w14:textId="77777777" w:rsidR="003E1ED2" w:rsidRPr="002F5957" w:rsidRDefault="003E1ED2" w:rsidP="003E1ED2">
      <w:pPr>
        <w:spacing w:line="269" w:lineRule="exact"/>
        <w:ind w:right="-38"/>
        <w:jc w:val="both"/>
        <w:rPr>
          <w:rFonts w:ascii="Garamond" w:eastAsia="Droid Sans" w:hAnsi="Garamond" w:cs="Arial"/>
          <w:b/>
          <w:bCs/>
          <w:sz w:val="22"/>
          <w:szCs w:val="22"/>
          <w:lang w:bidi="hi-IN"/>
        </w:rPr>
      </w:pPr>
      <w:r w:rsidRPr="002F5957">
        <w:rPr>
          <w:rFonts w:ascii="Garamond" w:eastAsia="Droid Sans" w:hAnsi="Garamond" w:cs="Arial"/>
          <w:b/>
          <w:bCs/>
          <w:sz w:val="22"/>
          <w:szCs w:val="22"/>
          <w:lang w:bidi="hi-IN"/>
        </w:rPr>
        <w:t>Mercado laboral y costos salariales:</w:t>
      </w:r>
    </w:p>
    <w:p w14:paraId="588E833C" w14:textId="77777777" w:rsidR="003E1ED2" w:rsidRPr="002F5957" w:rsidRDefault="003E1ED2" w:rsidP="003E1ED2">
      <w:pPr>
        <w:spacing w:line="269" w:lineRule="exact"/>
        <w:ind w:right="-38"/>
        <w:jc w:val="both"/>
        <w:rPr>
          <w:rFonts w:ascii="Garamond" w:eastAsia="Droid Sans" w:hAnsi="Garamond" w:cs="Arial"/>
          <w:b/>
          <w:bCs/>
          <w:sz w:val="22"/>
          <w:szCs w:val="22"/>
          <w:lang w:bidi="hi-IN"/>
        </w:rPr>
      </w:pPr>
    </w:p>
    <w:p w14:paraId="6E4D87BC"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El mercado laboral colombiano ha mostrado estabilidad, con una tasa de desempleo cercana al 8,0% y una tasa global de participación alrededor del 64% .</w:t>
      </w:r>
    </w:p>
    <w:p w14:paraId="2F5D2990" w14:textId="77777777" w:rsidR="003E1ED2" w:rsidRPr="002F5957" w:rsidRDefault="003E1ED2" w:rsidP="003E1ED2">
      <w:pPr>
        <w:spacing w:line="269" w:lineRule="exact"/>
        <w:ind w:right="-38"/>
        <w:jc w:val="both"/>
        <w:rPr>
          <w:rFonts w:ascii="Garamond" w:eastAsia="Droid Sans" w:hAnsi="Garamond" w:cs="Arial"/>
          <w:sz w:val="22"/>
          <w:szCs w:val="22"/>
          <w:lang w:bidi="hi-IN"/>
        </w:rPr>
      </w:pPr>
    </w:p>
    <w:p w14:paraId="2410534E"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Adicionalmente, el incremento del salario mínimo para 2026, fijado en $1.750.905 más auxilio de transporte, ha generado un aumento en los costos laborales del sector servicios, comercio y logística.</w:t>
      </w:r>
    </w:p>
    <w:p w14:paraId="21589095"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Esto puede traducirse en mayores costos operativos para los proveedores, los cuales eventualmente pueden reflejarse en los precios de los bienes. Sin embargo, también contribuye a mejorar la capacidad operativa del mercado, la calidad en la prestación de servicios y la disponibilidad de talento humano, lo cual favorece el cumplimiento eficiente del contrato.</w:t>
      </w:r>
    </w:p>
    <w:p w14:paraId="5DAF7546" w14:textId="77777777" w:rsidR="003E1ED2" w:rsidRPr="002F5957" w:rsidRDefault="003E1ED2" w:rsidP="003E1ED2">
      <w:pPr>
        <w:spacing w:line="269" w:lineRule="exact"/>
        <w:ind w:right="-38"/>
        <w:jc w:val="both"/>
        <w:rPr>
          <w:rFonts w:ascii="Garamond" w:eastAsia="Droid Sans" w:hAnsi="Garamond" w:cs="Arial"/>
          <w:sz w:val="22"/>
          <w:szCs w:val="22"/>
          <w:lang w:bidi="hi-IN"/>
        </w:rPr>
      </w:pPr>
    </w:p>
    <w:p w14:paraId="2F32F3C5" w14:textId="77777777" w:rsidR="003E1ED2" w:rsidRPr="002F5957" w:rsidRDefault="003E1ED2" w:rsidP="003E1ED2">
      <w:pPr>
        <w:spacing w:line="269" w:lineRule="exact"/>
        <w:ind w:right="-38"/>
        <w:jc w:val="both"/>
        <w:rPr>
          <w:rFonts w:ascii="Garamond" w:eastAsia="Droid Sans" w:hAnsi="Garamond" w:cs="Arial"/>
          <w:b/>
          <w:bCs/>
          <w:sz w:val="22"/>
          <w:szCs w:val="22"/>
          <w:lang w:bidi="hi-IN"/>
        </w:rPr>
      </w:pPr>
      <w:r w:rsidRPr="002F5957">
        <w:rPr>
          <w:rFonts w:ascii="Garamond" w:eastAsia="Droid Sans" w:hAnsi="Garamond" w:cs="Arial"/>
          <w:b/>
          <w:bCs/>
          <w:sz w:val="22"/>
          <w:szCs w:val="22"/>
          <w:lang w:bidi="hi-IN"/>
        </w:rPr>
        <w:t>Política monetaria y condiciones de financiamiento:</w:t>
      </w:r>
    </w:p>
    <w:p w14:paraId="50BE9146"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El Banco de la República ha mantenido una política monetaria orientada a la reducción gradual de la inflación, con expectativas de convergencia hacia niveles cercanos al 3% en el mediano plazo.</w:t>
      </w:r>
    </w:p>
    <w:p w14:paraId="39D819EC" w14:textId="77777777" w:rsidR="003E1ED2" w:rsidRPr="002F5957" w:rsidRDefault="003E1ED2" w:rsidP="003E1ED2">
      <w:pPr>
        <w:spacing w:line="269" w:lineRule="exact"/>
        <w:ind w:right="-38"/>
        <w:jc w:val="both"/>
        <w:rPr>
          <w:rFonts w:ascii="Garamond" w:eastAsia="Droid Sans" w:hAnsi="Garamond" w:cs="Arial"/>
          <w:sz w:val="22"/>
          <w:szCs w:val="22"/>
          <w:lang w:bidi="hi-IN"/>
        </w:rPr>
      </w:pPr>
      <w:r w:rsidRPr="002F5957">
        <w:rPr>
          <w:rFonts w:ascii="Garamond" w:eastAsia="Droid Sans" w:hAnsi="Garamond" w:cs="Arial"/>
          <w:sz w:val="22"/>
          <w:szCs w:val="22"/>
          <w:lang w:bidi="hi-IN"/>
        </w:rPr>
        <w:t>En este contexto, se ha iniciado un proceso de flexibilización de tasas de interés, lo cual mejora las condiciones de acceso a financiamiento para empresas proveedoras.</w:t>
      </w:r>
    </w:p>
    <w:p w14:paraId="3267575D" w14:textId="77777777" w:rsidR="003E1ED2" w:rsidRPr="002F5957" w:rsidRDefault="003E1ED2" w:rsidP="003E1ED2">
      <w:pPr>
        <w:spacing w:line="269" w:lineRule="exact"/>
        <w:ind w:right="-38"/>
        <w:jc w:val="both"/>
        <w:rPr>
          <w:rFonts w:ascii="Garamond" w:eastAsia="Droid Sans" w:hAnsi="Garamond" w:cs="Arial"/>
          <w:b/>
          <w:bCs/>
          <w:sz w:val="22"/>
          <w:szCs w:val="22"/>
          <w:lang w:bidi="hi-IN"/>
        </w:rPr>
      </w:pPr>
      <w:r w:rsidRPr="002F5957">
        <w:rPr>
          <w:rFonts w:ascii="Garamond" w:eastAsia="Droid Sans" w:hAnsi="Garamond" w:cs="Arial"/>
          <w:sz w:val="22"/>
          <w:szCs w:val="22"/>
          <w:lang w:bidi="hi-IN"/>
        </w:rPr>
        <w:t>Esto representa una ventaja para el proceso contractual, ya que facilita la liquidez, la capacidad de operación y la participación de oferentes, aunque se mantiene un nivel de incertidumbre asociado a factores externos como el entorno económico internacional.</w:t>
      </w:r>
    </w:p>
    <w:p w14:paraId="418F6274" w14:textId="77777777" w:rsidR="003E1ED2" w:rsidRPr="002F5957" w:rsidRDefault="003E1ED2" w:rsidP="003E1ED2">
      <w:pPr>
        <w:spacing w:line="269" w:lineRule="exact"/>
        <w:ind w:right="-38"/>
        <w:jc w:val="both"/>
        <w:rPr>
          <w:rFonts w:ascii="Garamond" w:eastAsia="Droid Sans" w:hAnsi="Garamond" w:cs="Arial"/>
          <w:b/>
          <w:bCs/>
          <w:sz w:val="22"/>
          <w:szCs w:val="22"/>
          <w:lang w:bidi="hi-IN"/>
        </w:rPr>
      </w:pPr>
    </w:p>
    <w:p w14:paraId="34C0C38C"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r w:rsidRPr="002F5957">
        <w:rPr>
          <w:rFonts w:ascii="Garamond" w:eastAsia="Calibri" w:hAnsi="Garamond" w:cs="Arial"/>
          <w:b/>
          <w:bCs/>
          <w:sz w:val="22"/>
          <w:szCs w:val="22"/>
        </w:rPr>
        <w:t>ENCUESTA MENSUAL DE SERVICIOS:</w:t>
      </w:r>
      <w:r w:rsidRPr="002F5957">
        <w:rPr>
          <w:rFonts w:ascii="Garamond" w:hAnsi="Garamond" w:cs="Arial"/>
          <w:sz w:val="22"/>
          <w:szCs w:val="22"/>
        </w:rPr>
        <w:t xml:space="preserve"> </w:t>
      </w:r>
    </w:p>
    <w:p w14:paraId="621AAFAB"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p>
    <w:p w14:paraId="34D21CD9"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r w:rsidRPr="002F5957">
        <w:rPr>
          <w:rFonts w:ascii="Garamond" w:hAnsi="Garamond" w:cs="Arial"/>
          <w:sz w:val="22"/>
          <w:szCs w:val="22"/>
        </w:rPr>
        <w:t xml:space="preserve">De acuerdo con la </w:t>
      </w:r>
      <w:r w:rsidRPr="002F5957">
        <w:rPr>
          <w:rFonts w:ascii="Garamond" w:hAnsi="Garamond" w:cs="Arial"/>
          <w:b/>
          <w:bCs/>
          <w:sz w:val="22"/>
          <w:szCs w:val="22"/>
        </w:rPr>
        <w:t>Encuesta Mensual de Servicios (EMS)</w:t>
      </w:r>
      <w:r w:rsidRPr="002F5957">
        <w:rPr>
          <w:rFonts w:ascii="Garamond" w:hAnsi="Garamond" w:cs="Arial"/>
          <w:sz w:val="22"/>
          <w:szCs w:val="22"/>
        </w:rPr>
        <w:t xml:space="preserve"> del DANE, la gráfica presenta la variación anual de los ingresos nominales por subsector del sector servicios en Colombia para </w:t>
      </w:r>
      <w:r w:rsidRPr="002F5957">
        <w:rPr>
          <w:rFonts w:ascii="Garamond" w:hAnsi="Garamond" w:cs="Arial"/>
          <w:b/>
          <w:bCs/>
          <w:sz w:val="22"/>
          <w:szCs w:val="22"/>
        </w:rPr>
        <w:t>abril de 2026</w:t>
      </w:r>
      <w:r w:rsidRPr="002F5957">
        <w:rPr>
          <w:rFonts w:ascii="Garamond" w:hAnsi="Garamond" w:cs="Arial"/>
          <w:sz w:val="22"/>
          <w:szCs w:val="22"/>
        </w:rPr>
        <w:t>, frente al mismo periodo de 2025. En términos generales, se observa un comportamiento mayoritariamente positivo, evidenciando un crecimiento en la mayoría de los subsectores del sector servicios.</w:t>
      </w:r>
    </w:p>
    <w:p w14:paraId="7BA96F9E"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r w:rsidRPr="002F5957">
        <w:rPr>
          <w:rFonts w:ascii="Garamond" w:hAnsi="Garamond" w:cs="Arial"/>
          <w:sz w:val="22"/>
          <w:szCs w:val="22"/>
        </w:rPr>
        <w:t xml:space="preserve">Los mayores incrementos se registraron en el subsector de </w:t>
      </w:r>
      <w:r w:rsidRPr="002F5957">
        <w:rPr>
          <w:rFonts w:ascii="Garamond" w:hAnsi="Garamond" w:cs="Arial"/>
          <w:b/>
          <w:bCs/>
          <w:sz w:val="22"/>
          <w:szCs w:val="22"/>
        </w:rPr>
        <w:t>producción de películas cinematográficas y programas de televisión (63,2%)</w:t>
      </w:r>
      <w:r w:rsidRPr="002F5957">
        <w:rPr>
          <w:rFonts w:ascii="Garamond" w:hAnsi="Garamond" w:cs="Arial"/>
          <w:sz w:val="22"/>
          <w:szCs w:val="22"/>
        </w:rPr>
        <w:t xml:space="preserve">, seguido de </w:t>
      </w:r>
      <w:r w:rsidRPr="002F5957">
        <w:rPr>
          <w:rFonts w:ascii="Garamond" w:hAnsi="Garamond" w:cs="Arial"/>
          <w:b/>
          <w:bCs/>
          <w:sz w:val="22"/>
          <w:szCs w:val="22"/>
        </w:rPr>
        <w:t>actividades de edición (21,0%)</w:t>
      </w:r>
      <w:r w:rsidRPr="002F5957">
        <w:rPr>
          <w:rFonts w:ascii="Garamond" w:hAnsi="Garamond" w:cs="Arial"/>
          <w:sz w:val="22"/>
          <w:szCs w:val="22"/>
        </w:rPr>
        <w:t xml:space="preserve">, </w:t>
      </w:r>
      <w:r w:rsidRPr="002F5957">
        <w:rPr>
          <w:rFonts w:ascii="Garamond" w:hAnsi="Garamond" w:cs="Arial"/>
          <w:b/>
          <w:bCs/>
          <w:sz w:val="22"/>
          <w:szCs w:val="22"/>
        </w:rPr>
        <w:t>actividades de empleo, seguridad e investigación privada y servicios a edificios (17,0%)</w:t>
      </w:r>
      <w:r w:rsidRPr="002F5957">
        <w:rPr>
          <w:rFonts w:ascii="Garamond" w:hAnsi="Garamond" w:cs="Arial"/>
          <w:sz w:val="22"/>
          <w:szCs w:val="22"/>
        </w:rPr>
        <w:t xml:space="preserve">, </w:t>
      </w:r>
      <w:r w:rsidRPr="002F5957">
        <w:rPr>
          <w:rFonts w:ascii="Garamond" w:hAnsi="Garamond" w:cs="Arial"/>
          <w:b/>
          <w:bCs/>
          <w:sz w:val="22"/>
          <w:szCs w:val="22"/>
        </w:rPr>
        <w:t>otros servicios de entretenimiento y otros servicios (16,7%)</w:t>
      </w:r>
      <w:r w:rsidRPr="002F5957">
        <w:rPr>
          <w:rFonts w:ascii="Garamond" w:hAnsi="Garamond" w:cs="Arial"/>
          <w:sz w:val="22"/>
          <w:szCs w:val="22"/>
        </w:rPr>
        <w:t xml:space="preserve">, </w:t>
      </w:r>
      <w:r w:rsidRPr="002F5957">
        <w:rPr>
          <w:rFonts w:ascii="Garamond" w:hAnsi="Garamond" w:cs="Arial"/>
          <w:b/>
          <w:bCs/>
          <w:sz w:val="22"/>
          <w:szCs w:val="22"/>
        </w:rPr>
        <w:t>actividades profesionales, científicas y técnicas (12,9%)</w:t>
      </w:r>
      <w:r w:rsidRPr="002F5957">
        <w:rPr>
          <w:rFonts w:ascii="Garamond" w:hAnsi="Garamond" w:cs="Arial"/>
          <w:sz w:val="22"/>
          <w:szCs w:val="22"/>
        </w:rPr>
        <w:t xml:space="preserve">, </w:t>
      </w:r>
      <w:r w:rsidRPr="002F5957">
        <w:rPr>
          <w:rFonts w:ascii="Garamond" w:hAnsi="Garamond" w:cs="Arial"/>
          <w:b/>
          <w:bCs/>
          <w:sz w:val="22"/>
          <w:szCs w:val="22"/>
        </w:rPr>
        <w:t>salud humana privada sin internación (11,4%)</w:t>
      </w:r>
      <w:r w:rsidRPr="002F5957">
        <w:rPr>
          <w:rFonts w:ascii="Garamond" w:hAnsi="Garamond" w:cs="Arial"/>
          <w:sz w:val="22"/>
          <w:szCs w:val="22"/>
        </w:rPr>
        <w:t xml:space="preserve">, </w:t>
      </w:r>
      <w:r w:rsidRPr="002F5957">
        <w:rPr>
          <w:rFonts w:ascii="Garamond" w:hAnsi="Garamond" w:cs="Arial"/>
          <w:b/>
          <w:bCs/>
          <w:sz w:val="22"/>
          <w:szCs w:val="22"/>
        </w:rPr>
        <w:t>actividades inmobiliarias, alquiler de maquinaria y equipo (11,4%)</w:t>
      </w:r>
      <w:r w:rsidRPr="002F5957">
        <w:rPr>
          <w:rFonts w:ascii="Garamond" w:hAnsi="Garamond" w:cs="Arial"/>
          <w:sz w:val="22"/>
          <w:szCs w:val="22"/>
        </w:rPr>
        <w:t xml:space="preserve">, </w:t>
      </w:r>
      <w:r w:rsidRPr="002F5957">
        <w:rPr>
          <w:rFonts w:ascii="Garamond" w:hAnsi="Garamond" w:cs="Arial"/>
          <w:b/>
          <w:bCs/>
          <w:sz w:val="22"/>
          <w:szCs w:val="22"/>
        </w:rPr>
        <w:t>actividades de programación y transmisión, agencias de noticias (8,6%)</w:t>
      </w:r>
      <w:r w:rsidRPr="002F5957">
        <w:rPr>
          <w:rFonts w:ascii="Garamond" w:hAnsi="Garamond" w:cs="Arial"/>
          <w:sz w:val="22"/>
          <w:szCs w:val="22"/>
        </w:rPr>
        <w:t xml:space="preserve">, </w:t>
      </w:r>
      <w:r w:rsidRPr="002F5957">
        <w:rPr>
          <w:rFonts w:ascii="Garamond" w:hAnsi="Garamond" w:cs="Arial"/>
          <w:b/>
          <w:bCs/>
          <w:sz w:val="22"/>
          <w:szCs w:val="22"/>
        </w:rPr>
        <w:t>publicidad (8,2%)</w:t>
      </w:r>
      <w:r w:rsidRPr="002F5957">
        <w:rPr>
          <w:rFonts w:ascii="Garamond" w:hAnsi="Garamond" w:cs="Arial"/>
          <w:sz w:val="22"/>
          <w:szCs w:val="22"/>
        </w:rPr>
        <w:t xml:space="preserve">, </w:t>
      </w:r>
      <w:r w:rsidRPr="002F5957">
        <w:rPr>
          <w:rFonts w:ascii="Garamond" w:hAnsi="Garamond" w:cs="Arial"/>
          <w:b/>
          <w:bCs/>
          <w:sz w:val="22"/>
          <w:szCs w:val="22"/>
        </w:rPr>
        <w:t>desarrollo de sistemas informáticos y procesamiento de datos (8,2%)</w:t>
      </w:r>
      <w:r w:rsidRPr="002F5957">
        <w:rPr>
          <w:rFonts w:ascii="Garamond" w:hAnsi="Garamond" w:cs="Arial"/>
          <w:sz w:val="22"/>
          <w:szCs w:val="22"/>
        </w:rPr>
        <w:t xml:space="preserve">, </w:t>
      </w:r>
      <w:r w:rsidRPr="002F5957">
        <w:rPr>
          <w:rFonts w:ascii="Garamond" w:hAnsi="Garamond" w:cs="Arial"/>
          <w:b/>
          <w:bCs/>
          <w:sz w:val="22"/>
          <w:szCs w:val="22"/>
        </w:rPr>
        <w:t>restaurantes, catering y bares (8,1%)</w:t>
      </w:r>
      <w:r w:rsidRPr="002F5957">
        <w:rPr>
          <w:rFonts w:ascii="Garamond" w:hAnsi="Garamond" w:cs="Arial"/>
          <w:sz w:val="22"/>
          <w:szCs w:val="22"/>
        </w:rPr>
        <w:t xml:space="preserve">, </w:t>
      </w:r>
      <w:r w:rsidRPr="002F5957">
        <w:rPr>
          <w:rFonts w:ascii="Garamond" w:hAnsi="Garamond" w:cs="Arial"/>
          <w:b/>
          <w:bCs/>
          <w:sz w:val="22"/>
          <w:szCs w:val="22"/>
        </w:rPr>
        <w:t>correo y servicios de mensajería (7,4%)</w:t>
      </w:r>
      <w:r w:rsidRPr="002F5957">
        <w:rPr>
          <w:rFonts w:ascii="Garamond" w:hAnsi="Garamond" w:cs="Arial"/>
          <w:sz w:val="22"/>
          <w:szCs w:val="22"/>
        </w:rPr>
        <w:t xml:space="preserve">, </w:t>
      </w:r>
      <w:r w:rsidRPr="002F5957">
        <w:rPr>
          <w:rFonts w:ascii="Garamond" w:hAnsi="Garamond" w:cs="Arial"/>
          <w:b/>
          <w:bCs/>
          <w:sz w:val="22"/>
          <w:szCs w:val="22"/>
        </w:rPr>
        <w:t>educación superior privada (6,7%)</w:t>
      </w:r>
      <w:r w:rsidRPr="002F5957">
        <w:rPr>
          <w:rFonts w:ascii="Garamond" w:hAnsi="Garamond" w:cs="Arial"/>
          <w:sz w:val="22"/>
          <w:szCs w:val="22"/>
        </w:rPr>
        <w:t xml:space="preserve"> y </w:t>
      </w:r>
      <w:r w:rsidRPr="002F5957">
        <w:rPr>
          <w:rFonts w:ascii="Garamond" w:hAnsi="Garamond" w:cs="Arial"/>
          <w:b/>
          <w:bCs/>
          <w:sz w:val="22"/>
          <w:szCs w:val="22"/>
        </w:rPr>
        <w:t>salud humana privada con internación (4,6%)</w:t>
      </w:r>
      <w:r w:rsidRPr="002F5957">
        <w:rPr>
          <w:rFonts w:ascii="Garamond" w:hAnsi="Garamond" w:cs="Arial"/>
          <w:sz w:val="22"/>
          <w:szCs w:val="22"/>
        </w:rPr>
        <w:t>.</w:t>
      </w:r>
    </w:p>
    <w:p w14:paraId="2E2C08D8"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p>
    <w:p w14:paraId="6A5C1777"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r w:rsidRPr="002F5957">
        <w:rPr>
          <w:rFonts w:ascii="Garamond" w:hAnsi="Garamond" w:cs="Arial"/>
          <w:sz w:val="22"/>
          <w:szCs w:val="22"/>
        </w:rPr>
        <w:t xml:space="preserve">Por su parte, algunos subsectores registraron variaciones negativas, destacándose </w:t>
      </w:r>
      <w:r w:rsidRPr="002F5957">
        <w:rPr>
          <w:rFonts w:ascii="Garamond" w:hAnsi="Garamond" w:cs="Arial"/>
          <w:b/>
          <w:bCs/>
          <w:sz w:val="22"/>
          <w:szCs w:val="22"/>
        </w:rPr>
        <w:t>actividades de centros de llamadas (call center) (-9,5%)</w:t>
      </w:r>
      <w:r w:rsidRPr="002F5957">
        <w:rPr>
          <w:rFonts w:ascii="Garamond" w:hAnsi="Garamond" w:cs="Arial"/>
          <w:sz w:val="22"/>
          <w:szCs w:val="22"/>
        </w:rPr>
        <w:t xml:space="preserve">, </w:t>
      </w:r>
      <w:r w:rsidRPr="002F5957">
        <w:rPr>
          <w:rFonts w:ascii="Garamond" w:hAnsi="Garamond" w:cs="Arial"/>
          <w:b/>
          <w:bCs/>
          <w:sz w:val="22"/>
          <w:szCs w:val="22"/>
        </w:rPr>
        <w:t>actividades administrativas y de apoyo de oficina y otras actividades, excepto call center (-3,0%)</w:t>
      </w:r>
      <w:r w:rsidRPr="002F5957">
        <w:rPr>
          <w:rFonts w:ascii="Garamond" w:hAnsi="Garamond" w:cs="Arial"/>
          <w:sz w:val="22"/>
          <w:szCs w:val="22"/>
        </w:rPr>
        <w:t xml:space="preserve"> y </w:t>
      </w:r>
      <w:r w:rsidRPr="002F5957">
        <w:rPr>
          <w:rFonts w:ascii="Garamond" w:hAnsi="Garamond" w:cs="Arial"/>
          <w:b/>
          <w:bCs/>
          <w:sz w:val="22"/>
          <w:szCs w:val="22"/>
        </w:rPr>
        <w:t>almacenamiento y actividades complementarias al transporte (-0,4%)</w:t>
      </w:r>
      <w:r w:rsidRPr="002F5957">
        <w:rPr>
          <w:rFonts w:ascii="Garamond" w:hAnsi="Garamond" w:cs="Arial"/>
          <w:sz w:val="22"/>
          <w:szCs w:val="22"/>
        </w:rPr>
        <w:t xml:space="preserve">. El subsector de </w:t>
      </w:r>
      <w:r w:rsidRPr="002F5957">
        <w:rPr>
          <w:rFonts w:ascii="Garamond" w:hAnsi="Garamond" w:cs="Arial"/>
          <w:b/>
          <w:bCs/>
          <w:sz w:val="22"/>
          <w:szCs w:val="22"/>
        </w:rPr>
        <w:t>telecomunicaciones</w:t>
      </w:r>
      <w:r w:rsidRPr="002F5957">
        <w:rPr>
          <w:rFonts w:ascii="Garamond" w:hAnsi="Garamond" w:cs="Arial"/>
          <w:sz w:val="22"/>
          <w:szCs w:val="22"/>
        </w:rPr>
        <w:t xml:space="preserve"> presentó una variación positiva moderada de </w:t>
      </w:r>
      <w:r w:rsidRPr="002F5957">
        <w:rPr>
          <w:rFonts w:ascii="Garamond" w:hAnsi="Garamond" w:cs="Arial"/>
          <w:b/>
          <w:bCs/>
          <w:sz w:val="22"/>
          <w:szCs w:val="22"/>
        </w:rPr>
        <w:t>1,4%</w:t>
      </w:r>
      <w:r w:rsidRPr="002F5957">
        <w:rPr>
          <w:rFonts w:ascii="Garamond" w:hAnsi="Garamond" w:cs="Arial"/>
          <w:sz w:val="22"/>
          <w:szCs w:val="22"/>
        </w:rPr>
        <w:t>.</w:t>
      </w:r>
    </w:p>
    <w:p w14:paraId="69FD17A1"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p>
    <w:p w14:paraId="2D806ECE"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r w:rsidRPr="002F5957">
        <w:rPr>
          <w:rFonts w:ascii="Garamond" w:hAnsi="Garamond" w:cs="Arial"/>
          <w:sz w:val="22"/>
          <w:szCs w:val="22"/>
        </w:rPr>
        <w:t xml:space="preserve">El comportamiento presentado en la </w:t>
      </w:r>
      <w:r w:rsidRPr="002F5957">
        <w:rPr>
          <w:rFonts w:ascii="Garamond" w:hAnsi="Garamond" w:cs="Arial"/>
          <w:b/>
          <w:bCs/>
          <w:sz w:val="22"/>
          <w:szCs w:val="22"/>
        </w:rPr>
        <w:t>Encuesta Mensual de Servicios (EMS)</w:t>
      </w:r>
      <w:r w:rsidRPr="002F5957">
        <w:rPr>
          <w:rFonts w:ascii="Garamond" w:hAnsi="Garamond" w:cs="Arial"/>
          <w:sz w:val="22"/>
          <w:szCs w:val="22"/>
        </w:rPr>
        <w:t xml:space="preserve"> del DANE para abril de 2026 evidencia una dinámica de crecimiento significativa en el sector servicios en Colombia, impulsada principalmente por las actividades culturales, audiovisuales, de entretenimiento, servicios profesionales y de </w:t>
      </w:r>
      <w:r w:rsidRPr="002F5957">
        <w:rPr>
          <w:rFonts w:ascii="Garamond" w:hAnsi="Garamond" w:cs="Arial"/>
          <w:sz w:val="22"/>
          <w:szCs w:val="22"/>
        </w:rPr>
        <w:lastRenderedPageBreak/>
        <w:t>apoyo empresarial. Este desempeño refleja un fortalecimiento de la actividad económica y una mayor demanda por servicios especializados, favoreciendo la competitividad y la capacidad de respuesta de los diferentes actores del mercado.</w:t>
      </w:r>
    </w:p>
    <w:p w14:paraId="33279D38"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p>
    <w:p w14:paraId="11C732A8"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r w:rsidRPr="002F5957">
        <w:rPr>
          <w:rFonts w:ascii="Garamond" w:hAnsi="Garamond" w:cs="Arial"/>
          <w:sz w:val="22"/>
          <w:szCs w:val="22"/>
        </w:rPr>
        <w:t>Asimismo, el crecimiento observado en sectores relacionados con tecnologías de la información, publicidad, restaurantes, mensajería y servicios de salud evidencia la consolidación de procesos de transformación digital, reactivación del consumo y fortalecimiento de los servicios empresariales y sociales.</w:t>
      </w:r>
    </w:p>
    <w:p w14:paraId="21EF0B2F"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p>
    <w:p w14:paraId="6A8CCDBB"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r w:rsidRPr="002F5957">
        <w:rPr>
          <w:rFonts w:ascii="Garamond" w:hAnsi="Garamond" w:cs="Arial"/>
          <w:sz w:val="22"/>
          <w:szCs w:val="22"/>
        </w:rPr>
        <w:t xml:space="preserve">En contraste, los resultados negativos en los subsectores de </w:t>
      </w:r>
      <w:r w:rsidRPr="002F5957">
        <w:rPr>
          <w:rFonts w:ascii="Garamond" w:hAnsi="Garamond" w:cs="Arial"/>
          <w:b/>
          <w:bCs/>
          <w:sz w:val="22"/>
          <w:szCs w:val="22"/>
        </w:rPr>
        <w:t>call center</w:t>
      </w:r>
      <w:r w:rsidRPr="002F5957">
        <w:rPr>
          <w:rFonts w:ascii="Garamond" w:hAnsi="Garamond" w:cs="Arial"/>
          <w:sz w:val="22"/>
          <w:szCs w:val="22"/>
        </w:rPr>
        <w:t xml:space="preserve">, </w:t>
      </w:r>
      <w:r w:rsidRPr="002F5957">
        <w:rPr>
          <w:rFonts w:ascii="Garamond" w:hAnsi="Garamond" w:cs="Arial"/>
          <w:b/>
          <w:bCs/>
          <w:sz w:val="22"/>
          <w:szCs w:val="22"/>
        </w:rPr>
        <w:t>actividades administrativas y de apoyo</w:t>
      </w:r>
      <w:r w:rsidRPr="002F5957">
        <w:rPr>
          <w:rFonts w:ascii="Garamond" w:hAnsi="Garamond" w:cs="Arial"/>
          <w:sz w:val="22"/>
          <w:szCs w:val="22"/>
        </w:rPr>
        <w:t xml:space="preserve"> y </w:t>
      </w:r>
      <w:r w:rsidRPr="002F5957">
        <w:rPr>
          <w:rFonts w:ascii="Garamond" w:hAnsi="Garamond" w:cs="Arial"/>
          <w:b/>
          <w:bCs/>
          <w:sz w:val="22"/>
          <w:szCs w:val="22"/>
        </w:rPr>
        <w:t>almacenamiento y transporte</w:t>
      </w:r>
      <w:r w:rsidRPr="002F5957">
        <w:rPr>
          <w:rFonts w:ascii="Garamond" w:hAnsi="Garamond" w:cs="Arial"/>
          <w:sz w:val="22"/>
          <w:szCs w:val="22"/>
        </w:rPr>
        <w:t xml:space="preserve"> reflejan ajustes operativos y cambios en la estructura de prestación de algunos servicios, asociados a procesos de automatización, optimización de recursos y transformación tecnológica.</w:t>
      </w:r>
    </w:p>
    <w:p w14:paraId="36BD7FF6"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p>
    <w:p w14:paraId="1EE2D1F7"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r w:rsidRPr="002F5957">
        <w:rPr>
          <w:rFonts w:ascii="Garamond" w:hAnsi="Garamond" w:cs="Arial"/>
          <w:sz w:val="22"/>
          <w:szCs w:val="22"/>
        </w:rPr>
        <w:t xml:space="preserve">En conjunto, este panorama muestra un </w:t>
      </w:r>
      <w:r w:rsidRPr="002F5957">
        <w:rPr>
          <w:rFonts w:ascii="Garamond" w:hAnsi="Garamond" w:cs="Arial"/>
          <w:b/>
          <w:bCs/>
          <w:sz w:val="22"/>
          <w:szCs w:val="22"/>
        </w:rPr>
        <w:t>sector servicios dinámico y en expansión</w:t>
      </w:r>
      <w:r w:rsidRPr="002F5957">
        <w:rPr>
          <w:rFonts w:ascii="Garamond" w:hAnsi="Garamond" w:cs="Arial"/>
          <w:sz w:val="22"/>
          <w:szCs w:val="22"/>
        </w:rPr>
        <w:t>, con un comportamiento favorable en la mayoría de los subsectores y un mercado con capacidad suficiente para atender la demanda de bienes y servicios requerida en el presente proceso de contratación. Este contexto fortalece las condiciones de competencia entre proveedores y favorece la adecuada ejecución del contrato, especialmente para la adquisición de bienes destinados a programas sociales, culturales, educativos y comunitarios.</w:t>
      </w:r>
    </w:p>
    <w:p w14:paraId="7E9DC326" w14:textId="77777777" w:rsidR="003E1ED2" w:rsidRPr="002F5957" w:rsidRDefault="003E1ED2" w:rsidP="003E1ED2">
      <w:pPr>
        <w:tabs>
          <w:tab w:val="left" w:pos="142"/>
          <w:tab w:val="left" w:pos="567"/>
          <w:tab w:val="left" w:pos="8789"/>
        </w:tabs>
        <w:ind w:right="49"/>
        <w:contextualSpacing/>
        <w:jc w:val="both"/>
        <w:rPr>
          <w:rFonts w:ascii="Garamond" w:hAnsi="Garamond" w:cs="Arial"/>
          <w:noProof/>
          <w:sz w:val="22"/>
          <w:szCs w:val="22"/>
        </w:rPr>
      </w:pPr>
    </w:p>
    <w:p w14:paraId="05548185" w14:textId="77777777" w:rsidR="003E1ED2" w:rsidRPr="002F5957" w:rsidRDefault="003E1ED2" w:rsidP="003E1ED2">
      <w:pPr>
        <w:spacing w:line="269" w:lineRule="exact"/>
        <w:ind w:right="-38"/>
        <w:jc w:val="both"/>
        <w:rPr>
          <w:rFonts w:ascii="Garamond" w:hAnsi="Garamond" w:cs="Arial"/>
          <w:sz w:val="22"/>
          <w:szCs w:val="22"/>
        </w:rPr>
      </w:pPr>
    </w:p>
    <w:p w14:paraId="15F97069" w14:textId="77777777" w:rsidR="003E1ED2" w:rsidRPr="002F5957" w:rsidRDefault="003E1ED2" w:rsidP="003E1ED2">
      <w:pPr>
        <w:tabs>
          <w:tab w:val="left" w:pos="142"/>
          <w:tab w:val="left" w:pos="567"/>
          <w:tab w:val="left" w:pos="8789"/>
        </w:tabs>
        <w:ind w:right="49"/>
        <w:contextualSpacing/>
        <w:jc w:val="both"/>
        <w:rPr>
          <w:rFonts w:ascii="Garamond" w:hAnsi="Garamond" w:cs="Arial"/>
          <w:noProof/>
          <w:sz w:val="22"/>
          <w:szCs w:val="22"/>
        </w:rPr>
      </w:pPr>
    </w:p>
    <w:p w14:paraId="1D5A1C40" w14:textId="77777777" w:rsidR="003E1ED2" w:rsidRPr="002F5957" w:rsidRDefault="003E1ED2" w:rsidP="003E1ED2">
      <w:pPr>
        <w:tabs>
          <w:tab w:val="left" w:pos="142"/>
          <w:tab w:val="left" w:pos="567"/>
          <w:tab w:val="left" w:pos="8789"/>
        </w:tabs>
        <w:ind w:right="49"/>
        <w:contextualSpacing/>
        <w:jc w:val="center"/>
        <w:rPr>
          <w:rFonts w:ascii="Garamond" w:hAnsi="Garamond" w:cs="Arial"/>
          <w:sz w:val="22"/>
          <w:szCs w:val="22"/>
        </w:rPr>
      </w:pPr>
      <w:r w:rsidRPr="002F5957">
        <w:rPr>
          <w:rFonts w:ascii="Garamond" w:hAnsi="Garamond" w:cs="Arial"/>
          <w:noProof/>
          <w:sz w:val="22"/>
          <w:szCs w:val="22"/>
        </w:rPr>
        <w:drawing>
          <wp:inline distT="0" distB="0" distL="0" distR="0" wp14:anchorId="78B5B1BF" wp14:editId="6D70EC5D">
            <wp:extent cx="5579461" cy="3646968"/>
            <wp:effectExtent l="0" t="0" r="2540" b="0"/>
            <wp:docPr id="3772659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265979" name=""/>
                    <pic:cNvPicPr/>
                  </pic:nvPicPr>
                  <pic:blipFill>
                    <a:blip r:embed="rId19"/>
                    <a:stretch>
                      <a:fillRect/>
                    </a:stretch>
                  </pic:blipFill>
                  <pic:spPr>
                    <a:xfrm>
                      <a:off x="0" y="0"/>
                      <a:ext cx="5587249" cy="3652059"/>
                    </a:xfrm>
                    <a:prstGeom prst="rect">
                      <a:avLst/>
                    </a:prstGeom>
                  </pic:spPr>
                </pic:pic>
              </a:graphicData>
            </a:graphic>
          </wp:inline>
        </w:drawing>
      </w:r>
    </w:p>
    <w:p w14:paraId="24FA8E41" w14:textId="77777777" w:rsidR="003E1ED2" w:rsidRPr="002F5957" w:rsidRDefault="003E1ED2" w:rsidP="003E1ED2">
      <w:pPr>
        <w:tabs>
          <w:tab w:val="left" w:pos="142"/>
          <w:tab w:val="left" w:pos="567"/>
          <w:tab w:val="left" w:pos="8789"/>
        </w:tabs>
        <w:ind w:right="49"/>
        <w:contextualSpacing/>
        <w:jc w:val="center"/>
        <w:rPr>
          <w:rFonts w:ascii="Garamond" w:hAnsi="Garamond" w:cs="Arial"/>
          <w:sz w:val="22"/>
          <w:szCs w:val="22"/>
        </w:rPr>
      </w:pPr>
    </w:p>
    <w:p w14:paraId="3B3026A2" w14:textId="77777777" w:rsidR="003E1ED2" w:rsidRPr="002F5957" w:rsidRDefault="003E1ED2" w:rsidP="003E1ED2">
      <w:pPr>
        <w:tabs>
          <w:tab w:val="left" w:pos="142"/>
          <w:tab w:val="left" w:pos="567"/>
          <w:tab w:val="left" w:pos="8789"/>
        </w:tabs>
        <w:ind w:right="49"/>
        <w:contextualSpacing/>
        <w:jc w:val="center"/>
        <w:rPr>
          <w:rFonts w:ascii="Garamond" w:hAnsi="Garamond" w:cs="Arial"/>
          <w:sz w:val="22"/>
          <w:szCs w:val="22"/>
        </w:rPr>
      </w:pPr>
      <w:r w:rsidRPr="002F5957">
        <w:rPr>
          <w:rFonts w:ascii="Garamond" w:hAnsi="Garamond"/>
          <w:sz w:val="22"/>
          <w:szCs w:val="22"/>
        </w:rPr>
        <w:lastRenderedPageBreak/>
        <w:t xml:space="preserve">Fuente: DANE </w:t>
      </w:r>
      <w:r w:rsidRPr="002F5957">
        <w:rPr>
          <w:rFonts w:ascii="Garamond" w:eastAsia="Garamond" w:hAnsi="Garamond" w:cs="Garamond"/>
          <w:sz w:val="22"/>
          <w:szCs w:val="22"/>
        </w:rPr>
        <w:t>–</w:t>
      </w:r>
      <w:r w:rsidRPr="002F5957">
        <w:rPr>
          <w:rFonts w:ascii="Garamond" w:hAnsi="Garamond"/>
          <w:sz w:val="22"/>
          <w:szCs w:val="22"/>
        </w:rPr>
        <w:t xml:space="preserve"> Encuesta Mensual de Servicios (EMS) abril 2026</w:t>
      </w:r>
      <w:r w:rsidRPr="002F5957">
        <w:rPr>
          <w:rStyle w:val="Refdenotaalpie"/>
          <w:rFonts w:ascii="Garamond" w:hAnsi="Garamond"/>
          <w:sz w:val="22"/>
          <w:szCs w:val="22"/>
        </w:rPr>
        <w:footnoteReference w:id="5"/>
      </w:r>
    </w:p>
    <w:p w14:paraId="4146F895" w14:textId="77777777" w:rsidR="003E1ED2" w:rsidRPr="002F5957" w:rsidRDefault="003E1ED2" w:rsidP="003E1ED2">
      <w:pPr>
        <w:tabs>
          <w:tab w:val="left" w:pos="142"/>
          <w:tab w:val="left" w:pos="567"/>
          <w:tab w:val="left" w:pos="8789"/>
        </w:tabs>
        <w:ind w:right="49"/>
        <w:contextualSpacing/>
        <w:jc w:val="center"/>
        <w:rPr>
          <w:rFonts w:ascii="Garamond" w:hAnsi="Garamond" w:cs="Arial"/>
          <w:sz w:val="22"/>
          <w:szCs w:val="22"/>
        </w:rPr>
      </w:pPr>
    </w:p>
    <w:p w14:paraId="5ABB3CE6" w14:textId="77777777" w:rsidR="003E1ED2" w:rsidRPr="002F5957" w:rsidRDefault="003E1ED2" w:rsidP="003E1ED2">
      <w:pPr>
        <w:tabs>
          <w:tab w:val="left" w:pos="142"/>
          <w:tab w:val="left" w:pos="567"/>
          <w:tab w:val="left" w:pos="8789"/>
        </w:tabs>
        <w:ind w:right="49"/>
        <w:contextualSpacing/>
        <w:jc w:val="both"/>
        <w:rPr>
          <w:rFonts w:ascii="Garamond" w:hAnsi="Garamond" w:cs="Arial"/>
          <w:b/>
          <w:bCs/>
          <w:sz w:val="22"/>
          <w:szCs w:val="22"/>
        </w:rPr>
      </w:pPr>
    </w:p>
    <w:p w14:paraId="5C1C3C6A" w14:textId="77777777" w:rsidR="003E1ED2" w:rsidRPr="002F5957" w:rsidRDefault="003E1ED2" w:rsidP="003E1ED2">
      <w:pPr>
        <w:numPr>
          <w:ilvl w:val="1"/>
          <w:numId w:val="13"/>
        </w:numPr>
        <w:tabs>
          <w:tab w:val="left" w:pos="142"/>
          <w:tab w:val="left" w:pos="567"/>
          <w:tab w:val="left" w:pos="8789"/>
        </w:tabs>
        <w:ind w:right="49"/>
        <w:contextualSpacing/>
        <w:jc w:val="both"/>
        <w:rPr>
          <w:rFonts w:ascii="Garamond" w:hAnsi="Garamond" w:cs="Arial"/>
          <w:b/>
          <w:bCs/>
          <w:sz w:val="22"/>
          <w:szCs w:val="22"/>
        </w:rPr>
      </w:pPr>
      <w:r w:rsidRPr="002F5957">
        <w:rPr>
          <w:rFonts w:ascii="Garamond" w:hAnsi="Garamond" w:cs="Arial"/>
          <w:b/>
          <w:bCs/>
          <w:sz w:val="22"/>
          <w:szCs w:val="22"/>
        </w:rPr>
        <w:t>FACTOR VARIACIÓN DEL SMMLV:</w:t>
      </w:r>
    </w:p>
    <w:p w14:paraId="424687D3" w14:textId="77777777" w:rsidR="003E1ED2" w:rsidRPr="002F5957" w:rsidRDefault="003E1ED2" w:rsidP="003E1ED2">
      <w:pPr>
        <w:tabs>
          <w:tab w:val="left" w:pos="142"/>
          <w:tab w:val="left" w:pos="567"/>
          <w:tab w:val="left" w:pos="8789"/>
        </w:tabs>
        <w:ind w:right="49"/>
        <w:contextualSpacing/>
        <w:jc w:val="both"/>
        <w:rPr>
          <w:rFonts w:ascii="Garamond" w:hAnsi="Garamond" w:cs="Arial"/>
          <w:sz w:val="22"/>
          <w:szCs w:val="22"/>
        </w:rPr>
      </w:pPr>
    </w:p>
    <w:p w14:paraId="26D570E9" w14:textId="77777777" w:rsidR="003E1ED2" w:rsidRPr="002F5957" w:rsidRDefault="003E1ED2" w:rsidP="003E1ED2">
      <w:pPr>
        <w:jc w:val="both"/>
        <w:rPr>
          <w:rFonts w:ascii="Garamond" w:eastAsia="Calibri" w:hAnsi="Garamond" w:cs="Arial"/>
          <w:sz w:val="22"/>
          <w:szCs w:val="22"/>
        </w:rPr>
      </w:pPr>
      <w:r w:rsidRPr="002F5957">
        <w:rPr>
          <w:rFonts w:ascii="Garamond" w:eastAsia="Calibri" w:hAnsi="Garamond" w:cs="Arial"/>
          <w:sz w:val="22"/>
          <w:szCs w:val="22"/>
        </w:rPr>
        <w:t xml:space="preserve">Para el año 2026 el salario mínimo quedo en $1.750.905 y el auxilio de transporte en $249.095, totalizando $2.000.000. el cual fue determinado conforme al inciso 2° del parágrafo del artículo 8° de la ley 278 de 1996, a falta de un acuerdo. </w:t>
      </w:r>
    </w:p>
    <w:p w14:paraId="65596A84" w14:textId="77777777" w:rsidR="003E1ED2" w:rsidRPr="002F5957" w:rsidRDefault="003E1ED2" w:rsidP="003E1ED2">
      <w:pPr>
        <w:jc w:val="both"/>
        <w:rPr>
          <w:rFonts w:ascii="Garamond" w:eastAsia="Calibri" w:hAnsi="Garamond" w:cs="Arial"/>
          <w:sz w:val="22"/>
          <w:szCs w:val="22"/>
        </w:rPr>
      </w:pPr>
    </w:p>
    <w:p w14:paraId="32583BEC" w14:textId="77777777" w:rsidR="003E1ED2" w:rsidRPr="002F5957" w:rsidRDefault="003E1ED2" w:rsidP="003E1ED2">
      <w:pPr>
        <w:jc w:val="center"/>
        <w:rPr>
          <w:rFonts w:ascii="Garamond" w:eastAsia="Calibri" w:hAnsi="Garamond" w:cs="Arial"/>
          <w:sz w:val="22"/>
          <w:szCs w:val="22"/>
        </w:rPr>
      </w:pPr>
      <w:r w:rsidRPr="002F5957">
        <w:rPr>
          <w:rFonts w:ascii="Garamond" w:eastAsia="Calibri" w:hAnsi="Garamond" w:cs="Arial"/>
          <w:noProof/>
          <w:sz w:val="22"/>
          <w:szCs w:val="22"/>
        </w:rPr>
        <w:drawing>
          <wp:inline distT="0" distB="0" distL="0" distR="0" wp14:anchorId="20288EEB" wp14:editId="4EFF8CD6">
            <wp:extent cx="3945212" cy="1967023"/>
            <wp:effectExtent l="0" t="0" r="0" b="0"/>
            <wp:docPr id="77593195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931957" name="Imagen 1" descr="Tabla&#10;&#10;El contenido generado por IA puede ser incorrecto."/>
                    <pic:cNvPicPr/>
                  </pic:nvPicPr>
                  <pic:blipFill>
                    <a:blip r:embed="rId20"/>
                    <a:stretch>
                      <a:fillRect/>
                    </a:stretch>
                  </pic:blipFill>
                  <pic:spPr>
                    <a:xfrm>
                      <a:off x="0" y="0"/>
                      <a:ext cx="3989286" cy="1988998"/>
                    </a:xfrm>
                    <a:prstGeom prst="rect">
                      <a:avLst/>
                    </a:prstGeom>
                  </pic:spPr>
                </pic:pic>
              </a:graphicData>
            </a:graphic>
          </wp:inline>
        </w:drawing>
      </w:r>
    </w:p>
    <w:p w14:paraId="7DFF8AC6" w14:textId="77777777" w:rsidR="003E1ED2" w:rsidRPr="002F5957" w:rsidRDefault="003E1ED2" w:rsidP="003E1ED2">
      <w:pPr>
        <w:jc w:val="both"/>
        <w:rPr>
          <w:rFonts w:ascii="Garamond" w:eastAsia="Calibri" w:hAnsi="Garamond" w:cs="Arial"/>
          <w:sz w:val="22"/>
          <w:szCs w:val="22"/>
        </w:rPr>
      </w:pPr>
    </w:p>
    <w:p w14:paraId="4F7BB70E" w14:textId="77777777" w:rsidR="003E1ED2" w:rsidRPr="002F5957" w:rsidRDefault="003E1ED2" w:rsidP="003E1ED2">
      <w:pPr>
        <w:jc w:val="both"/>
        <w:rPr>
          <w:rFonts w:ascii="Garamond" w:eastAsia="Calibri" w:hAnsi="Garamond" w:cs="Arial"/>
          <w:sz w:val="22"/>
          <w:szCs w:val="22"/>
        </w:rPr>
      </w:pPr>
    </w:p>
    <w:p w14:paraId="582A67EE" w14:textId="77777777" w:rsidR="003E1ED2" w:rsidRPr="002F5957" w:rsidRDefault="003E1ED2" w:rsidP="003E1ED2">
      <w:pPr>
        <w:spacing w:before="240" w:after="240"/>
        <w:jc w:val="both"/>
        <w:rPr>
          <w:rFonts w:ascii="Garamond" w:eastAsia="Calibri" w:hAnsi="Garamond" w:cs="Arial"/>
          <w:sz w:val="22"/>
          <w:szCs w:val="22"/>
        </w:rPr>
      </w:pPr>
      <w:r w:rsidRPr="002F5957">
        <w:rPr>
          <w:rFonts w:ascii="Garamond" w:eastAsia="Calibri" w:hAnsi="Garamond" w:cs="Arial"/>
          <w:sz w:val="22"/>
          <w:szCs w:val="22"/>
        </w:rPr>
        <w:t>Según los resultados consolidados de la Encuesta Mensual de Servicios (EMS) del DANE, al cierre de febrero 2026, catorce de los subsectores de servicios (14 de 18) mantuvieron una variación positiva en los salarios en comparación con el año anterior. Específicamente, al cierre del segundo semestre de 2025.</w:t>
      </w:r>
    </w:p>
    <w:p w14:paraId="6DE1F91D" w14:textId="77777777" w:rsidR="003E1ED2" w:rsidRPr="002F5957" w:rsidRDefault="003E1ED2" w:rsidP="003E1ED2">
      <w:pPr>
        <w:spacing w:before="240" w:after="240"/>
        <w:jc w:val="both"/>
        <w:rPr>
          <w:rFonts w:ascii="Garamond" w:eastAsia="Calibri" w:hAnsi="Garamond" w:cs="Arial"/>
          <w:sz w:val="22"/>
          <w:szCs w:val="22"/>
        </w:rPr>
      </w:pPr>
      <w:r w:rsidRPr="002F5957">
        <w:rPr>
          <w:rFonts w:ascii="Garamond" w:eastAsia="Calibri" w:hAnsi="Garamond" w:cs="Arial"/>
          <w:sz w:val="22"/>
          <w:szCs w:val="22"/>
        </w:rPr>
        <w:t>En febrero de 2026, catorce de los dieciocho subsectores de servicios presentaron variación positiva en los ingresos totales, en comparación con febrero de 2025.</w:t>
      </w:r>
    </w:p>
    <w:p w14:paraId="111EBDB5" w14:textId="77777777" w:rsidR="003E1ED2" w:rsidRPr="002F5957" w:rsidRDefault="003E1ED2" w:rsidP="003E1ED2">
      <w:pPr>
        <w:jc w:val="both"/>
        <w:rPr>
          <w:rFonts w:ascii="Garamond" w:hAnsi="Garamond"/>
          <w:sz w:val="22"/>
          <w:szCs w:val="22"/>
          <w:highlight w:val="yellow"/>
        </w:rPr>
      </w:pPr>
    </w:p>
    <w:p w14:paraId="63607915" w14:textId="77777777" w:rsidR="003E1ED2" w:rsidRPr="002F5957" w:rsidRDefault="003E1ED2" w:rsidP="003E1ED2">
      <w:pPr>
        <w:jc w:val="center"/>
        <w:rPr>
          <w:rFonts w:ascii="Garamond" w:eastAsia="Calibri" w:hAnsi="Garamond" w:cs="Arial"/>
          <w:sz w:val="22"/>
          <w:szCs w:val="22"/>
        </w:rPr>
      </w:pPr>
      <w:r w:rsidRPr="002F5957">
        <w:rPr>
          <w:rFonts w:ascii="Garamond" w:eastAsia="Calibri" w:hAnsi="Garamond" w:cs="Arial"/>
          <w:noProof/>
          <w:sz w:val="22"/>
          <w:szCs w:val="22"/>
        </w:rPr>
        <w:lastRenderedPageBreak/>
        <w:drawing>
          <wp:inline distT="0" distB="0" distL="0" distR="0" wp14:anchorId="3CCAC1D0" wp14:editId="497A1AC2">
            <wp:extent cx="5579745" cy="4499610"/>
            <wp:effectExtent l="0" t="0" r="1905" b="0"/>
            <wp:docPr id="7382405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240568" name=""/>
                    <pic:cNvPicPr/>
                  </pic:nvPicPr>
                  <pic:blipFill>
                    <a:blip r:embed="rId21"/>
                    <a:stretch>
                      <a:fillRect/>
                    </a:stretch>
                  </pic:blipFill>
                  <pic:spPr>
                    <a:xfrm>
                      <a:off x="0" y="0"/>
                      <a:ext cx="5579745" cy="4499610"/>
                    </a:xfrm>
                    <a:prstGeom prst="rect">
                      <a:avLst/>
                    </a:prstGeom>
                  </pic:spPr>
                </pic:pic>
              </a:graphicData>
            </a:graphic>
          </wp:inline>
        </w:drawing>
      </w:r>
    </w:p>
    <w:p w14:paraId="0711FA8A" w14:textId="77777777" w:rsidR="003E1ED2" w:rsidRPr="002F5957" w:rsidRDefault="003E1ED2" w:rsidP="003E1ED2">
      <w:pPr>
        <w:jc w:val="center"/>
        <w:rPr>
          <w:rFonts w:ascii="Garamond" w:eastAsia="Calibri" w:hAnsi="Garamond" w:cs="Arial"/>
          <w:sz w:val="22"/>
          <w:szCs w:val="22"/>
        </w:rPr>
      </w:pPr>
      <w:r w:rsidRPr="002F5957">
        <w:rPr>
          <w:rFonts w:ascii="Garamond" w:eastAsia="Calibri" w:hAnsi="Garamond" w:cs="Arial"/>
          <w:sz w:val="22"/>
          <w:szCs w:val="22"/>
        </w:rPr>
        <w:t>Fuente: Encuesta Mensual de Servicios (EMS) abril de 2026 p</w:t>
      </w:r>
    </w:p>
    <w:p w14:paraId="57C546CA" w14:textId="77777777" w:rsidR="003E1ED2" w:rsidRPr="002F5957" w:rsidRDefault="003E1ED2" w:rsidP="003E1ED2">
      <w:pPr>
        <w:jc w:val="both"/>
        <w:rPr>
          <w:rFonts w:ascii="Garamond" w:eastAsia="Calibri" w:hAnsi="Garamond" w:cs="Arial"/>
          <w:sz w:val="22"/>
          <w:szCs w:val="22"/>
        </w:rPr>
      </w:pPr>
    </w:p>
    <w:p w14:paraId="4639983C" w14:textId="77777777" w:rsidR="003E1ED2" w:rsidRPr="002F5957" w:rsidRDefault="003E1ED2" w:rsidP="003E1ED2">
      <w:pPr>
        <w:jc w:val="both"/>
        <w:rPr>
          <w:rFonts w:ascii="Garamond" w:hAnsi="Garamond"/>
          <w:sz w:val="22"/>
          <w:szCs w:val="22"/>
        </w:rPr>
      </w:pPr>
      <w:r w:rsidRPr="002F5957">
        <w:rPr>
          <w:rFonts w:ascii="Garamond" w:hAnsi="Garamond"/>
          <w:sz w:val="22"/>
          <w:szCs w:val="22"/>
        </w:rPr>
        <w:t xml:space="preserve">En el acumulado del año a </w:t>
      </w:r>
      <w:r w:rsidRPr="002F5957">
        <w:rPr>
          <w:rFonts w:ascii="Garamond" w:hAnsi="Garamond"/>
          <w:b/>
          <w:bCs/>
          <w:sz w:val="22"/>
          <w:szCs w:val="22"/>
        </w:rPr>
        <w:t>abril de 2026</w:t>
      </w:r>
      <w:r w:rsidRPr="002F5957">
        <w:rPr>
          <w:rFonts w:ascii="Garamond" w:hAnsi="Garamond"/>
          <w:sz w:val="22"/>
          <w:szCs w:val="22"/>
        </w:rPr>
        <w:t>, el sector servicios continuó evidenciando un comportamiento favorable en los ingresos nominales de la mayoría de los subsectores, reflejando la consolidación de la recuperación de la actividad económica y la dinámica positiva en la prestación de servicios.</w:t>
      </w:r>
    </w:p>
    <w:p w14:paraId="2A92225F" w14:textId="77777777" w:rsidR="003E1ED2" w:rsidRPr="002F5957" w:rsidRDefault="003E1ED2" w:rsidP="003E1ED2">
      <w:pPr>
        <w:jc w:val="both"/>
        <w:rPr>
          <w:rFonts w:ascii="Garamond" w:hAnsi="Garamond"/>
          <w:sz w:val="22"/>
          <w:szCs w:val="22"/>
        </w:rPr>
      </w:pPr>
    </w:p>
    <w:p w14:paraId="433D518E" w14:textId="77777777" w:rsidR="003E1ED2" w:rsidRPr="002F5957" w:rsidRDefault="003E1ED2" w:rsidP="003E1ED2">
      <w:pPr>
        <w:jc w:val="both"/>
        <w:rPr>
          <w:rFonts w:ascii="Garamond" w:hAnsi="Garamond"/>
          <w:sz w:val="22"/>
          <w:szCs w:val="22"/>
        </w:rPr>
      </w:pPr>
      <w:r w:rsidRPr="002F5957">
        <w:rPr>
          <w:rFonts w:ascii="Garamond" w:hAnsi="Garamond"/>
          <w:sz w:val="22"/>
          <w:szCs w:val="22"/>
        </w:rPr>
        <w:t>Ingresos: Al cierre de abril de 2026, quince de los dieciocho subsectores registraron variaciones positivas en sus ingresos nominales frente al mismo periodo del año anterior. Los mayores incrementos se observaron en producción de películas cinematográficas y programas de televisión (63,2%), actividades de edición (21,0%), actividades de empleo, seguridad e investigación privada y servicios a edificios (17,0%), otros servicios de entretenimiento y otros servicios (16,7%) y actividades profesionales, científicas y técnicas (12,9%), evidenciando un importante dinamismo en estos segmentos del sector servicios.</w:t>
      </w:r>
    </w:p>
    <w:p w14:paraId="226E9386" w14:textId="77777777" w:rsidR="003E1ED2" w:rsidRPr="002F5957" w:rsidRDefault="003E1ED2" w:rsidP="003E1ED2">
      <w:pPr>
        <w:jc w:val="both"/>
        <w:rPr>
          <w:rFonts w:ascii="Garamond" w:hAnsi="Garamond"/>
          <w:sz w:val="22"/>
          <w:szCs w:val="22"/>
        </w:rPr>
      </w:pPr>
    </w:p>
    <w:p w14:paraId="071E347B" w14:textId="77777777" w:rsidR="003E1ED2" w:rsidRPr="002F5957" w:rsidRDefault="003E1ED2" w:rsidP="003E1ED2">
      <w:pPr>
        <w:jc w:val="both"/>
        <w:rPr>
          <w:rFonts w:ascii="Garamond" w:hAnsi="Garamond"/>
          <w:sz w:val="22"/>
          <w:szCs w:val="22"/>
        </w:rPr>
      </w:pPr>
      <w:r w:rsidRPr="002F5957">
        <w:rPr>
          <w:rFonts w:ascii="Garamond" w:hAnsi="Garamond"/>
          <w:sz w:val="22"/>
          <w:szCs w:val="22"/>
        </w:rPr>
        <w:t>Subsectores con variación negativa: Tres de los dieciocho subsectores presentaron disminuciones en sus ingresos nominales, correspondientes a actividades de centros de llamadas (call center) (-9,5%), actividades administrativas y de apoyo de oficina y otras actividades, excepto call center (-3,0%) y almacenamiento y actividades complementarias al transporte (-0,4%), comportamiento asociado a procesos de ajuste operativo y cambios en la demanda de estos servicios.</w:t>
      </w:r>
    </w:p>
    <w:p w14:paraId="2CCFFA06" w14:textId="77777777" w:rsidR="003E1ED2" w:rsidRPr="002F5957" w:rsidRDefault="003E1ED2" w:rsidP="003E1ED2">
      <w:pPr>
        <w:jc w:val="both"/>
        <w:rPr>
          <w:rFonts w:ascii="Garamond" w:eastAsia="Calibri" w:hAnsi="Garamond" w:cs="Arial"/>
          <w:sz w:val="22"/>
          <w:szCs w:val="22"/>
          <w:highlight w:val="yellow"/>
        </w:rPr>
      </w:pPr>
    </w:p>
    <w:p w14:paraId="41B77984" w14:textId="77777777" w:rsidR="003E1ED2" w:rsidRPr="002F5957" w:rsidRDefault="003E1ED2" w:rsidP="003E1ED2">
      <w:pPr>
        <w:jc w:val="both"/>
        <w:rPr>
          <w:rFonts w:ascii="Garamond" w:eastAsia="Calibri" w:hAnsi="Garamond" w:cs="Arial"/>
          <w:sz w:val="22"/>
          <w:szCs w:val="22"/>
        </w:rPr>
      </w:pPr>
    </w:p>
    <w:p w14:paraId="36BDA5C7" w14:textId="77777777" w:rsidR="003E1ED2" w:rsidRPr="002F5957" w:rsidRDefault="003E1ED2" w:rsidP="003E1ED2">
      <w:pPr>
        <w:jc w:val="center"/>
        <w:rPr>
          <w:rFonts w:ascii="Garamond" w:eastAsia="Calibri" w:hAnsi="Garamond" w:cs="Arial"/>
          <w:sz w:val="22"/>
          <w:szCs w:val="22"/>
        </w:rPr>
      </w:pPr>
      <w:r w:rsidRPr="002F5957">
        <w:rPr>
          <w:rFonts w:ascii="Garamond" w:eastAsia="Calibri" w:hAnsi="Garamond" w:cs="Arial"/>
          <w:noProof/>
          <w:sz w:val="22"/>
          <w:szCs w:val="22"/>
        </w:rPr>
        <w:drawing>
          <wp:inline distT="0" distB="0" distL="0" distR="0" wp14:anchorId="6C616847" wp14:editId="6FEA69E5">
            <wp:extent cx="5125165" cy="4296375"/>
            <wp:effectExtent l="0" t="0" r="0" b="9525"/>
            <wp:docPr id="6280143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014386" name=""/>
                    <pic:cNvPicPr/>
                  </pic:nvPicPr>
                  <pic:blipFill>
                    <a:blip r:embed="rId22"/>
                    <a:stretch>
                      <a:fillRect/>
                    </a:stretch>
                  </pic:blipFill>
                  <pic:spPr>
                    <a:xfrm>
                      <a:off x="0" y="0"/>
                      <a:ext cx="5125165" cy="4296375"/>
                    </a:xfrm>
                    <a:prstGeom prst="rect">
                      <a:avLst/>
                    </a:prstGeom>
                  </pic:spPr>
                </pic:pic>
              </a:graphicData>
            </a:graphic>
          </wp:inline>
        </w:drawing>
      </w:r>
    </w:p>
    <w:p w14:paraId="248DA18E" w14:textId="77777777" w:rsidR="003E1ED2" w:rsidRPr="002F5957" w:rsidRDefault="003E1ED2" w:rsidP="003E1ED2">
      <w:pPr>
        <w:jc w:val="center"/>
        <w:rPr>
          <w:rFonts w:ascii="Garamond" w:eastAsia="Calibri" w:hAnsi="Garamond" w:cs="Arial"/>
          <w:sz w:val="22"/>
          <w:szCs w:val="22"/>
        </w:rPr>
      </w:pPr>
      <w:r w:rsidRPr="002F5957">
        <w:rPr>
          <w:rFonts w:ascii="Garamond" w:eastAsia="Calibri" w:hAnsi="Garamond" w:cs="Arial"/>
          <w:sz w:val="22"/>
          <w:szCs w:val="22"/>
        </w:rPr>
        <w:t>Fuente: Encuesta Mensual de Servicios (EMS) abril de 2026 p</w:t>
      </w:r>
    </w:p>
    <w:p w14:paraId="687B8B64" w14:textId="77777777" w:rsidR="003E1ED2" w:rsidRPr="002F5957" w:rsidRDefault="003E1ED2" w:rsidP="003E1ED2">
      <w:pPr>
        <w:jc w:val="center"/>
        <w:rPr>
          <w:rFonts w:ascii="Garamond" w:eastAsia="Calibri" w:hAnsi="Garamond" w:cs="Arial"/>
          <w:sz w:val="22"/>
          <w:szCs w:val="22"/>
        </w:rPr>
      </w:pPr>
    </w:p>
    <w:p w14:paraId="669F6E1E" w14:textId="77777777" w:rsidR="003E1ED2" w:rsidRPr="002F5957" w:rsidRDefault="003E1ED2" w:rsidP="003E1ED2">
      <w:pPr>
        <w:jc w:val="both"/>
        <w:rPr>
          <w:rFonts w:ascii="Garamond" w:hAnsi="Garamond"/>
          <w:sz w:val="22"/>
          <w:szCs w:val="22"/>
        </w:rPr>
      </w:pPr>
      <w:r w:rsidRPr="002F5957">
        <w:rPr>
          <w:rFonts w:ascii="Garamond" w:hAnsi="Garamond"/>
          <w:sz w:val="22"/>
          <w:szCs w:val="22"/>
          <w:lang w:val="es"/>
        </w:rPr>
        <w:t xml:space="preserve">Salarios: </w:t>
      </w:r>
      <w:r w:rsidRPr="002F5957">
        <w:rPr>
          <w:rFonts w:ascii="Garamond" w:hAnsi="Garamond"/>
          <w:sz w:val="22"/>
          <w:szCs w:val="22"/>
        </w:rPr>
        <w:t>En lo corrido de 2026, catorce de los dieciocho subsectores de servicios presentaron variación positiva en los ingresos, trece presentaron disminución en el personal ocupado total y todos los subsectores presentaron incrementos en los salarios, en comparación con el mismo periodo de 2025.</w:t>
      </w:r>
    </w:p>
    <w:p w14:paraId="0D50593B" w14:textId="77777777" w:rsidR="003E1ED2" w:rsidRPr="002F5957" w:rsidRDefault="003E1ED2" w:rsidP="003E1ED2">
      <w:pPr>
        <w:jc w:val="both"/>
        <w:rPr>
          <w:rFonts w:ascii="Garamond" w:hAnsi="Garamond"/>
          <w:sz w:val="22"/>
          <w:szCs w:val="22"/>
        </w:rPr>
      </w:pPr>
    </w:p>
    <w:p w14:paraId="5E7BE83A" w14:textId="77777777" w:rsidR="003E1ED2" w:rsidRPr="002F5957" w:rsidRDefault="003E1ED2" w:rsidP="003E1ED2">
      <w:pPr>
        <w:jc w:val="both"/>
        <w:rPr>
          <w:rFonts w:ascii="Garamond" w:hAnsi="Garamond"/>
          <w:sz w:val="22"/>
          <w:szCs w:val="22"/>
        </w:rPr>
      </w:pPr>
      <w:r w:rsidRPr="002F5957">
        <w:rPr>
          <w:rFonts w:ascii="Garamond" w:hAnsi="Garamond"/>
          <w:sz w:val="22"/>
          <w:szCs w:val="22"/>
        </w:rPr>
        <w:t>En febrero de 2026, todos los subsectores de servicios presentaron variación positiva en los salarios, en comparación con febrero de 2025.</w:t>
      </w:r>
    </w:p>
    <w:p w14:paraId="5288D0F6" w14:textId="77777777" w:rsidR="003E1ED2" w:rsidRPr="002F5957" w:rsidRDefault="003E1ED2" w:rsidP="003E1ED2">
      <w:pPr>
        <w:jc w:val="both"/>
        <w:rPr>
          <w:rFonts w:ascii="Garamond" w:hAnsi="Garamond"/>
          <w:sz w:val="22"/>
          <w:szCs w:val="22"/>
        </w:rPr>
      </w:pPr>
    </w:p>
    <w:p w14:paraId="65C549AD" w14:textId="77777777" w:rsidR="003E1ED2" w:rsidRPr="002F5957" w:rsidRDefault="003E1ED2" w:rsidP="003E1ED2">
      <w:pPr>
        <w:jc w:val="center"/>
        <w:rPr>
          <w:rFonts w:ascii="Garamond" w:eastAsia="Calibri" w:hAnsi="Garamond" w:cs="Arial"/>
          <w:sz w:val="22"/>
          <w:szCs w:val="22"/>
        </w:rPr>
      </w:pPr>
      <w:r w:rsidRPr="002F5957">
        <w:rPr>
          <w:rFonts w:ascii="Garamond" w:eastAsia="Calibri" w:hAnsi="Garamond" w:cs="Arial"/>
          <w:noProof/>
          <w:sz w:val="22"/>
          <w:szCs w:val="22"/>
        </w:rPr>
        <w:lastRenderedPageBreak/>
        <w:drawing>
          <wp:inline distT="0" distB="0" distL="0" distR="0" wp14:anchorId="0EED6B02" wp14:editId="452EE619">
            <wp:extent cx="4982270" cy="4296375"/>
            <wp:effectExtent l="0" t="0" r="0" b="9525"/>
            <wp:docPr id="19381231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23155" name=""/>
                    <pic:cNvPicPr/>
                  </pic:nvPicPr>
                  <pic:blipFill>
                    <a:blip r:embed="rId23"/>
                    <a:stretch>
                      <a:fillRect/>
                    </a:stretch>
                  </pic:blipFill>
                  <pic:spPr>
                    <a:xfrm>
                      <a:off x="0" y="0"/>
                      <a:ext cx="4982270" cy="4296375"/>
                    </a:xfrm>
                    <a:prstGeom prst="rect">
                      <a:avLst/>
                    </a:prstGeom>
                  </pic:spPr>
                </pic:pic>
              </a:graphicData>
            </a:graphic>
          </wp:inline>
        </w:drawing>
      </w:r>
    </w:p>
    <w:p w14:paraId="5CA869A8" w14:textId="77777777" w:rsidR="003E1ED2" w:rsidRPr="002F5957" w:rsidRDefault="003E1ED2" w:rsidP="003E1ED2">
      <w:pPr>
        <w:jc w:val="both"/>
        <w:rPr>
          <w:rFonts w:ascii="Garamond" w:hAnsi="Garamond"/>
          <w:sz w:val="22"/>
          <w:szCs w:val="22"/>
          <w:lang w:val="es"/>
        </w:rPr>
      </w:pPr>
    </w:p>
    <w:p w14:paraId="43EA3CE1" w14:textId="77777777" w:rsidR="003E1ED2" w:rsidRPr="002F5957" w:rsidRDefault="003E1ED2" w:rsidP="003E1ED2">
      <w:pPr>
        <w:jc w:val="both"/>
        <w:rPr>
          <w:rFonts w:ascii="Garamond" w:hAnsi="Garamond"/>
          <w:sz w:val="22"/>
          <w:szCs w:val="22"/>
          <w:lang w:val="es"/>
        </w:rPr>
      </w:pPr>
      <w:r w:rsidRPr="002F5957">
        <w:rPr>
          <w:rFonts w:ascii="Garamond" w:hAnsi="Garamond"/>
          <w:sz w:val="22"/>
          <w:szCs w:val="22"/>
        </w:rPr>
        <w:t>En lo corrido de 2026, catorce de los dieciocho subsectores de servicios presentaron variación positiva en los ingresos, trece presentaron disminución en el personal ocupado total y todos los subsectores presentaron incrementos en los salarios, en comparación con el mismo periodo de 2025.</w:t>
      </w:r>
    </w:p>
    <w:p w14:paraId="0C2E5E54" w14:textId="77777777" w:rsidR="003E1ED2" w:rsidRPr="002F5957" w:rsidRDefault="003E1ED2" w:rsidP="003E1ED2">
      <w:pPr>
        <w:jc w:val="center"/>
        <w:rPr>
          <w:rFonts w:ascii="Garamond" w:eastAsia="Calibri" w:hAnsi="Garamond" w:cs="Arial"/>
          <w:sz w:val="22"/>
          <w:szCs w:val="22"/>
          <w:lang w:val="es"/>
        </w:rPr>
      </w:pPr>
    </w:p>
    <w:p w14:paraId="69E58724" w14:textId="77777777" w:rsidR="003E1ED2" w:rsidRPr="002F5957" w:rsidRDefault="003E1ED2" w:rsidP="003E1ED2">
      <w:pPr>
        <w:jc w:val="center"/>
        <w:rPr>
          <w:rFonts w:ascii="Garamond" w:eastAsia="Calibri" w:hAnsi="Garamond" w:cs="Arial"/>
          <w:sz w:val="22"/>
          <w:szCs w:val="22"/>
          <w:lang w:val="es"/>
        </w:rPr>
      </w:pPr>
      <w:r w:rsidRPr="002F5957">
        <w:rPr>
          <w:rFonts w:ascii="Garamond" w:eastAsia="Calibri" w:hAnsi="Garamond" w:cs="Arial"/>
          <w:noProof/>
          <w:sz w:val="22"/>
          <w:szCs w:val="22"/>
          <w:lang w:val="es"/>
        </w:rPr>
        <w:lastRenderedPageBreak/>
        <w:drawing>
          <wp:inline distT="0" distB="0" distL="0" distR="0" wp14:anchorId="333E13AA" wp14:editId="6F853EA4">
            <wp:extent cx="4963218" cy="4153480"/>
            <wp:effectExtent l="0" t="0" r="8890" b="0"/>
            <wp:docPr id="14587997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799733" name=""/>
                    <pic:cNvPicPr/>
                  </pic:nvPicPr>
                  <pic:blipFill>
                    <a:blip r:embed="rId24"/>
                    <a:stretch>
                      <a:fillRect/>
                    </a:stretch>
                  </pic:blipFill>
                  <pic:spPr>
                    <a:xfrm>
                      <a:off x="0" y="0"/>
                      <a:ext cx="4963218" cy="4153480"/>
                    </a:xfrm>
                    <a:prstGeom prst="rect">
                      <a:avLst/>
                    </a:prstGeom>
                  </pic:spPr>
                </pic:pic>
              </a:graphicData>
            </a:graphic>
          </wp:inline>
        </w:drawing>
      </w:r>
    </w:p>
    <w:p w14:paraId="257E6CFC" w14:textId="77777777" w:rsidR="003E1ED2" w:rsidRPr="002F5957" w:rsidRDefault="003E1ED2" w:rsidP="003E1ED2">
      <w:pPr>
        <w:jc w:val="both"/>
        <w:rPr>
          <w:rFonts w:ascii="Garamond" w:hAnsi="Garamond"/>
          <w:sz w:val="22"/>
          <w:szCs w:val="22"/>
        </w:rPr>
      </w:pPr>
    </w:p>
    <w:p w14:paraId="7E27D184" w14:textId="77777777" w:rsidR="003E1ED2" w:rsidRPr="002F5957" w:rsidRDefault="003E1ED2" w:rsidP="003E1ED2">
      <w:pPr>
        <w:jc w:val="both"/>
        <w:rPr>
          <w:rFonts w:ascii="Garamond" w:hAnsi="Garamond"/>
          <w:sz w:val="22"/>
          <w:szCs w:val="22"/>
        </w:rPr>
      </w:pPr>
      <w:r w:rsidRPr="002F5957">
        <w:rPr>
          <w:rFonts w:ascii="Garamond" w:hAnsi="Garamond"/>
          <w:sz w:val="22"/>
          <w:szCs w:val="22"/>
        </w:rPr>
        <w:t>En el año móvil hasta febrero de 2026, dieciséis de los dieciocho subsectores de servicios presentaron variación positiva en los ingresos, catorce presentaron disminución en el personal ocupado total y todos los subsectores presentaron incrementos en los salarios, en comparación con el mismo periodo comprendido hasta febrero de 2025.</w:t>
      </w:r>
    </w:p>
    <w:p w14:paraId="589DAA37" w14:textId="77777777" w:rsidR="003E1ED2" w:rsidRPr="002F5957" w:rsidRDefault="003E1ED2" w:rsidP="003E1ED2">
      <w:pPr>
        <w:jc w:val="both"/>
        <w:rPr>
          <w:rFonts w:ascii="Garamond" w:hAnsi="Garamond"/>
          <w:sz w:val="22"/>
          <w:szCs w:val="22"/>
        </w:rPr>
      </w:pPr>
    </w:p>
    <w:p w14:paraId="3397E429" w14:textId="77777777" w:rsidR="003E1ED2" w:rsidRPr="002F5957" w:rsidRDefault="003E1ED2" w:rsidP="003E1ED2">
      <w:pPr>
        <w:jc w:val="center"/>
        <w:rPr>
          <w:rFonts w:ascii="Garamond" w:eastAsia="Calibri" w:hAnsi="Garamond" w:cs="Arial"/>
          <w:sz w:val="22"/>
          <w:szCs w:val="22"/>
          <w:lang w:val="es"/>
        </w:rPr>
      </w:pPr>
      <w:r w:rsidRPr="002F5957">
        <w:rPr>
          <w:rFonts w:ascii="Garamond" w:eastAsia="Calibri" w:hAnsi="Garamond" w:cs="Arial"/>
          <w:noProof/>
          <w:sz w:val="22"/>
          <w:szCs w:val="22"/>
          <w:lang w:val="es"/>
        </w:rPr>
        <w:lastRenderedPageBreak/>
        <w:drawing>
          <wp:inline distT="0" distB="0" distL="0" distR="0" wp14:anchorId="65C10A45" wp14:editId="39B3DA19">
            <wp:extent cx="4820323" cy="4239217"/>
            <wp:effectExtent l="0" t="0" r="0" b="9525"/>
            <wp:docPr id="14258372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837279" name=""/>
                    <pic:cNvPicPr/>
                  </pic:nvPicPr>
                  <pic:blipFill>
                    <a:blip r:embed="rId25"/>
                    <a:stretch>
                      <a:fillRect/>
                    </a:stretch>
                  </pic:blipFill>
                  <pic:spPr>
                    <a:xfrm>
                      <a:off x="0" y="0"/>
                      <a:ext cx="4820323" cy="4239217"/>
                    </a:xfrm>
                    <a:prstGeom prst="rect">
                      <a:avLst/>
                    </a:prstGeom>
                  </pic:spPr>
                </pic:pic>
              </a:graphicData>
            </a:graphic>
          </wp:inline>
        </w:drawing>
      </w:r>
    </w:p>
    <w:p w14:paraId="6518CD1D" w14:textId="77777777" w:rsidR="003E1ED2" w:rsidRPr="002F5957" w:rsidRDefault="003E1ED2" w:rsidP="003E1ED2">
      <w:pPr>
        <w:jc w:val="both"/>
        <w:rPr>
          <w:rFonts w:ascii="Garamond" w:eastAsia="Calibri" w:hAnsi="Garamond" w:cs="Arial"/>
          <w:sz w:val="22"/>
          <w:szCs w:val="22"/>
          <w:lang w:val="es"/>
        </w:rPr>
      </w:pPr>
    </w:p>
    <w:p w14:paraId="0381B1AC" w14:textId="77777777" w:rsidR="003E1ED2" w:rsidRPr="002F5957" w:rsidRDefault="003E1ED2" w:rsidP="003E1ED2">
      <w:pPr>
        <w:jc w:val="both"/>
        <w:rPr>
          <w:rFonts w:ascii="Garamond" w:hAnsi="Garamond"/>
          <w:sz w:val="22"/>
          <w:szCs w:val="22"/>
        </w:rPr>
      </w:pPr>
      <w:r w:rsidRPr="002F5957">
        <w:rPr>
          <w:rFonts w:ascii="Garamond" w:hAnsi="Garamond"/>
          <w:sz w:val="22"/>
          <w:szCs w:val="22"/>
        </w:rPr>
        <w:t xml:space="preserve">Durante </w:t>
      </w:r>
      <w:r w:rsidRPr="002F5957">
        <w:rPr>
          <w:rFonts w:ascii="Garamond" w:hAnsi="Garamond"/>
          <w:b/>
          <w:bCs/>
          <w:sz w:val="22"/>
          <w:szCs w:val="22"/>
        </w:rPr>
        <w:t>abril de 2026</w:t>
      </w:r>
      <w:r w:rsidRPr="002F5957">
        <w:rPr>
          <w:rFonts w:ascii="Garamond" w:hAnsi="Garamond"/>
          <w:sz w:val="22"/>
          <w:szCs w:val="22"/>
        </w:rPr>
        <w:t>, el sector servicios en Colombia presentó un comportamiento favorable, reflejado en el crecimiento de los ingresos nominales en la mayoría de los subsectores analizados por el DANE, lo que evidencia una mayor dinámica económica y un fortalecimiento de la actividad empresarial frente al mismo periodo de 2025.</w:t>
      </w:r>
    </w:p>
    <w:p w14:paraId="2189C8B0" w14:textId="77777777" w:rsidR="003E1ED2" w:rsidRPr="002F5957" w:rsidRDefault="003E1ED2" w:rsidP="003E1ED2">
      <w:pPr>
        <w:jc w:val="both"/>
        <w:rPr>
          <w:rFonts w:ascii="Garamond" w:hAnsi="Garamond"/>
          <w:sz w:val="22"/>
          <w:szCs w:val="22"/>
        </w:rPr>
      </w:pPr>
    </w:p>
    <w:p w14:paraId="3DE4BA11" w14:textId="77777777" w:rsidR="003E1ED2" w:rsidRPr="002F5957" w:rsidRDefault="003E1ED2" w:rsidP="003E1ED2">
      <w:pPr>
        <w:jc w:val="both"/>
        <w:rPr>
          <w:rFonts w:ascii="Garamond" w:hAnsi="Garamond"/>
          <w:sz w:val="22"/>
          <w:szCs w:val="22"/>
        </w:rPr>
      </w:pPr>
      <w:r w:rsidRPr="002F5957">
        <w:rPr>
          <w:rFonts w:ascii="Garamond" w:hAnsi="Garamond"/>
          <w:b/>
          <w:bCs/>
          <w:sz w:val="22"/>
          <w:szCs w:val="22"/>
        </w:rPr>
        <w:t>1. Evolución de los ingresos nominales</w:t>
      </w:r>
    </w:p>
    <w:p w14:paraId="0AC2E583" w14:textId="77777777" w:rsidR="003E1ED2" w:rsidRPr="002F5957" w:rsidRDefault="003E1ED2" w:rsidP="003E1ED2">
      <w:pPr>
        <w:jc w:val="both"/>
        <w:rPr>
          <w:rFonts w:ascii="Garamond" w:hAnsi="Garamond"/>
          <w:sz w:val="22"/>
          <w:szCs w:val="22"/>
        </w:rPr>
      </w:pPr>
      <w:r w:rsidRPr="002F5957">
        <w:rPr>
          <w:rFonts w:ascii="Garamond" w:hAnsi="Garamond"/>
          <w:sz w:val="22"/>
          <w:szCs w:val="22"/>
        </w:rPr>
        <w:t>La mayoría de los subsectores registraron variaciones anuales positivas en sus ingresos. Los mayores crecimientos se observaron en producción de películas cinematográficas y programas de televisión (63,2%), actividades de edición (21,0%), actividades de empleo, seguridad e investigación privada y servicios a edificios (17,0%), otros servicios de entretenimiento y otros servicios (16,7%) y actividades profesionales, científicas y técnicas (12,9%). Asimismo, se evidenciaron resultados positivos en sectores como salud, publicidad, tecnologías de la información, restaurantes, mensajería y educación superior.</w:t>
      </w:r>
    </w:p>
    <w:p w14:paraId="71EB8311" w14:textId="77777777" w:rsidR="003E1ED2" w:rsidRPr="002F5957" w:rsidRDefault="003E1ED2" w:rsidP="003E1ED2">
      <w:pPr>
        <w:jc w:val="both"/>
        <w:rPr>
          <w:rFonts w:ascii="Garamond" w:hAnsi="Garamond"/>
          <w:sz w:val="22"/>
          <w:szCs w:val="22"/>
        </w:rPr>
      </w:pPr>
    </w:p>
    <w:p w14:paraId="73101105" w14:textId="77777777" w:rsidR="003E1ED2" w:rsidRPr="002F5957" w:rsidRDefault="003E1ED2" w:rsidP="003E1ED2">
      <w:pPr>
        <w:jc w:val="both"/>
        <w:rPr>
          <w:rFonts w:ascii="Garamond" w:hAnsi="Garamond"/>
          <w:sz w:val="22"/>
          <w:szCs w:val="22"/>
        </w:rPr>
      </w:pPr>
      <w:r w:rsidRPr="002F5957">
        <w:rPr>
          <w:rFonts w:ascii="Garamond" w:hAnsi="Garamond"/>
          <w:b/>
          <w:bCs/>
          <w:sz w:val="22"/>
          <w:szCs w:val="22"/>
        </w:rPr>
        <w:t>2. Subsectores con variación negativa</w:t>
      </w:r>
    </w:p>
    <w:p w14:paraId="4A69D1BF" w14:textId="77777777" w:rsidR="003E1ED2" w:rsidRPr="002F5957" w:rsidRDefault="003E1ED2" w:rsidP="003E1ED2">
      <w:pPr>
        <w:jc w:val="both"/>
        <w:rPr>
          <w:rFonts w:ascii="Garamond" w:hAnsi="Garamond"/>
          <w:sz w:val="22"/>
          <w:szCs w:val="22"/>
        </w:rPr>
      </w:pPr>
      <w:r w:rsidRPr="002F5957">
        <w:rPr>
          <w:rFonts w:ascii="Garamond" w:hAnsi="Garamond"/>
          <w:sz w:val="22"/>
          <w:szCs w:val="22"/>
        </w:rPr>
        <w:t>En contraste, tres subsectores presentaron disminuciones en sus ingresos nominales: actividades de centros de llamadas (Call Center) (-9,5%), actividades administrativas y de apoyo de oficina y otras actividades, excepto Call Center (-3,0%) y almacenamiento y actividades complementarias al transporte (-0,4%). Estas variaciones pueden estar asociadas a ajustes operativos, cambios en la demanda y procesos de transformación en la prestación de estos servicios.</w:t>
      </w:r>
    </w:p>
    <w:p w14:paraId="58A059A3" w14:textId="77777777" w:rsidR="003E1ED2" w:rsidRPr="002F5957" w:rsidRDefault="003E1ED2" w:rsidP="003E1ED2">
      <w:pPr>
        <w:jc w:val="both"/>
        <w:rPr>
          <w:rFonts w:ascii="Garamond" w:hAnsi="Garamond"/>
          <w:sz w:val="22"/>
          <w:szCs w:val="22"/>
        </w:rPr>
      </w:pPr>
      <w:r w:rsidRPr="002F5957">
        <w:rPr>
          <w:rFonts w:ascii="Garamond" w:hAnsi="Garamond"/>
          <w:sz w:val="22"/>
          <w:szCs w:val="22"/>
        </w:rPr>
        <w:lastRenderedPageBreak/>
        <w:t xml:space="preserve">En términos generales, los resultados de la </w:t>
      </w:r>
      <w:r w:rsidRPr="002F5957">
        <w:rPr>
          <w:rFonts w:ascii="Garamond" w:hAnsi="Garamond"/>
          <w:b/>
          <w:bCs/>
          <w:sz w:val="22"/>
          <w:szCs w:val="22"/>
        </w:rPr>
        <w:t>Encuesta Mensual de Servicios (EMS)</w:t>
      </w:r>
      <w:r w:rsidRPr="002F5957">
        <w:rPr>
          <w:rFonts w:ascii="Garamond" w:hAnsi="Garamond"/>
          <w:sz w:val="22"/>
          <w:szCs w:val="22"/>
        </w:rPr>
        <w:t xml:space="preserve"> para abril de 2026 evidencian un sector servicios con un comportamiento predominantemente positivo, respaldado por el crecimiento de los ingresos en la mayoría de los subsectores. Este contexto refleja un mercado dinámico, competitivo y con capacidad para atender la demanda de bienes y servicios requerida por las entidades públicas, favoreciendo el desarrollo del presente proceso de contratación.</w:t>
      </w:r>
    </w:p>
    <w:p w14:paraId="1A9BA679" w14:textId="77777777" w:rsidR="003E1ED2" w:rsidRPr="002F5957" w:rsidRDefault="003E1ED2" w:rsidP="003E1ED2">
      <w:pPr>
        <w:jc w:val="both"/>
        <w:rPr>
          <w:rFonts w:ascii="Garamond" w:hAnsi="Garamond"/>
          <w:sz w:val="22"/>
          <w:szCs w:val="22"/>
        </w:rPr>
      </w:pPr>
    </w:p>
    <w:p w14:paraId="604E24C8" w14:textId="77777777" w:rsidR="003E1ED2" w:rsidRPr="002F5957" w:rsidRDefault="003E1ED2" w:rsidP="003E1ED2">
      <w:pPr>
        <w:jc w:val="both"/>
        <w:rPr>
          <w:rFonts w:ascii="Garamond" w:hAnsi="Garamond"/>
          <w:sz w:val="22"/>
          <w:szCs w:val="22"/>
        </w:rPr>
      </w:pPr>
      <w:r w:rsidRPr="002F5957">
        <w:rPr>
          <w:rFonts w:ascii="Garamond" w:hAnsi="Garamond"/>
          <w:sz w:val="22"/>
          <w:szCs w:val="22"/>
        </w:rPr>
        <w:t>3. Comportamiento de Salarios</w:t>
      </w:r>
    </w:p>
    <w:p w14:paraId="30E5E8AB" w14:textId="77777777" w:rsidR="003E1ED2" w:rsidRPr="002F5957" w:rsidRDefault="003E1ED2" w:rsidP="003E1ED2">
      <w:pPr>
        <w:jc w:val="both"/>
        <w:rPr>
          <w:rFonts w:ascii="Garamond" w:hAnsi="Garamond"/>
          <w:sz w:val="22"/>
          <w:szCs w:val="22"/>
        </w:rPr>
      </w:pPr>
      <w:r w:rsidRPr="002F5957">
        <w:rPr>
          <w:rFonts w:ascii="Garamond" w:hAnsi="Garamond"/>
          <w:sz w:val="22"/>
          <w:szCs w:val="22"/>
        </w:rPr>
        <w:t xml:space="preserve">Se observó un incremento salarial en el 100% de los subsectores analizados en comparación con febrero de 2025. </w:t>
      </w:r>
    </w:p>
    <w:p w14:paraId="7F1BC40E" w14:textId="77777777" w:rsidR="003E1ED2" w:rsidRPr="002F5957" w:rsidRDefault="003E1ED2" w:rsidP="003E1ED2">
      <w:pPr>
        <w:numPr>
          <w:ilvl w:val="0"/>
          <w:numId w:val="14"/>
        </w:numPr>
        <w:jc w:val="both"/>
        <w:rPr>
          <w:rFonts w:ascii="Garamond" w:hAnsi="Garamond"/>
          <w:sz w:val="22"/>
          <w:szCs w:val="22"/>
        </w:rPr>
      </w:pPr>
      <w:r w:rsidRPr="002F5957">
        <w:rPr>
          <w:rFonts w:ascii="Garamond" w:hAnsi="Garamond"/>
          <w:sz w:val="22"/>
          <w:szCs w:val="22"/>
        </w:rPr>
        <w:t xml:space="preserve">Incrementos destacados: Los aumentos más significativos se dieron en "Restaurantes, catering y bares" (+20,7%), "Actividades administrativas y de apoyo" (+20,1%) y servicios de "Empleo y seguridad" (+19,6%). </w:t>
      </w:r>
    </w:p>
    <w:p w14:paraId="673D486A" w14:textId="77777777" w:rsidR="003E1ED2" w:rsidRPr="002F5957" w:rsidRDefault="003E1ED2" w:rsidP="003E1ED2">
      <w:pPr>
        <w:numPr>
          <w:ilvl w:val="0"/>
          <w:numId w:val="14"/>
        </w:numPr>
        <w:jc w:val="both"/>
        <w:rPr>
          <w:rFonts w:ascii="Garamond" w:hAnsi="Garamond"/>
          <w:sz w:val="22"/>
          <w:szCs w:val="22"/>
        </w:rPr>
      </w:pPr>
      <w:r w:rsidRPr="002F5957">
        <w:rPr>
          <w:rFonts w:ascii="Garamond" w:hAnsi="Garamond"/>
          <w:sz w:val="22"/>
          <w:szCs w:val="22"/>
        </w:rPr>
        <w:t xml:space="preserve">Variación mínima: El subsector de "Desarrollo de sistemas informáticos" registró el crecimiento salarial más bajo (+0,7%). </w:t>
      </w:r>
    </w:p>
    <w:p w14:paraId="35100A1D" w14:textId="77777777" w:rsidR="003E1ED2" w:rsidRPr="002F5957" w:rsidRDefault="003E1ED2" w:rsidP="003E1ED2">
      <w:pPr>
        <w:ind w:left="720"/>
        <w:jc w:val="both"/>
        <w:rPr>
          <w:rFonts w:ascii="Garamond" w:hAnsi="Garamond"/>
          <w:sz w:val="22"/>
          <w:szCs w:val="22"/>
        </w:rPr>
      </w:pPr>
    </w:p>
    <w:p w14:paraId="4360BAD3" w14:textId="77777777" w:rsidR="003E1ED2" w:rsidRPr="002F5957" w:rsidRDefault="003E1ED2" w:rsidP="003E1ED2">
      <w:pPr>
        <w:jc w:val="both"/>
        <w:rPr>
          <w:rFonts w:ascii="Garamond" w:hAnsi="Garamond"/>
          <w:sz w:val="22"/>
          <w:szCs w:val="22"/>
        </w:rPr>
      </w:pPr>
      <w:r w:rsidRPr="002F5957">
        <w:rPr>
          <w:rFonts w:ascii="Garamond" w:hAnsi="Garamond"/>
          <w:sz w:val="22"/>
          <w:szCs w:val="22"/>
        </w:rPr>
        <w:t>4. Análisis de Año Corrido (Enero – febrero 2026)</w:t>
      </w:r>
    </w:p>
    <w:p w14:paraId="70EC04A5" w14:textId="77777777" w:rsidR="003E1ED2" w:rsidRPr="002F5957" w:rsidRDefault="003E1ED2" w:rsidP="003E1ED2">
      <w:pPr>
        <w:jc w:val="both"/>
        <w:rPr>
          <w:rFonts w:ascii="Garamond" w:hAnsi="Garamond"/>
          <w:sz w:val="22"/>
          <w:szCs w:val="22"/>
        </w:rPr>
      </w:pPr>
      <w:r w:rsidRPr="002F5957">
        <w:rPr>
          <w:rFonts w:ascii="Garamond" w:hAnsi="Garamond"/>
          <w:sz w:val="22"/>
          <w:szCs w:val="22"/>
        </w:rPr>
        <w:t>La tendencia de los primeros dos meses del año reafirma el comportamiento mensual:</w:t>
      </w:r>
    </w:p>
    <w:p w14:paraId="297B1F89" w14:textId="77777777" w:rsidR="003E1ED2" w:rsidRPr="002F5957" w:rsidRDefault="003E1ED2" w:rsidP="003E1ED2">
      <w:pPr>
        <w:jc w:val="both"/>
        <w:rPr>
          <w:rFonts w:ascii="Garamond" w:hAnsi="Garamond"/>
          <w:sz w:val="22"/>
          <w:szCs w:val="22"/>
        </w:rPr>
      </w:pPr>
    </w:p>
    <w:p w14:paraId="73758C54" w14:textId="77777777" w:rsidR="003E1ED2" w:rsidRPr="002F5957" w:rsidRDefault="003E1ED2" w:rsidP="003E1ED2">
      <w:pPr>
        <w:numPr>
          <w:ilvl w:val="0"/>
          <w:numId w:val="15"/>
        </w:numPr>
        <w:jc w:val="both"/>
        <w:rPr>
          <w:rFonts w:ascii="Garamond" w:hAnsi="Garamond"/>
          <w:sz w:val="22"/>
          <w:szCs w:val="22"/>
        </w:rPr>
      </w:pPr>
      <w:r w:rsidRPr="002F5957">
        <w:rPr>
          <w:rFonts w:ascii="Garamond" w:hAnsi="Garamond"/>
          <w:sz w:val="22"/>
          <w:szCs w:val="22"/>
        </w:rPr>
        <w:t xml:space="preserve">Ingresos: 14 subsectores mantienen una tendencia al alza. </w:t>
      </w:r>
    </w:p>
    <w:p w14:paraId="7F95703E" w14:textId="77777777" w:rsidR="003E1ED2" w:rsidRPr="002F5957" w:rsidRDefault="003E1ED2" w:rsidP="003E1ED2">
      <w:pPr>
        <w:numPr>
          <w:ilvl w:val="0"/>
          <w:numId w:val="15"/>
        </w:numPr>
        <w:jc w:val="both"/>
        <w:rPr>
          <w:rFonts w:ascii="Garamond" w:hAnsi="Garamond"/>
          <w:sz w:val="22"/>
          <w:szCs w:val="22"/>
        </w:rPr>
      </w:pPr>
      <w:r w:rsidRPr="002F5957">
        <w:rPr>
          <w:rFonts w:ascii="Garamond" w:hAnsi="Garamond"/>
          <w:sz w:val="22"/>
          <w:szCs w:val="22"/>
        </w:rPr>
        <w:t xml:space="preserve">Personal: 13 subsectores presentan una disminución en su ocupación total. </w:t>
      </w:r>
    </w:p>
    <w:p w14:paraId="22FFF2EF" w14:textId="77777777" w:rsidR="003E1ED2" w:rsidRPr="002F5957" w:rsidRDefault="003E1ED2" w:rsidP="003E1ED2">
      <w:pPr>
        <w:numPr>
          <w:ilvl w:val="0"/>
          <w:numId w:val="15"/>
        </w:numPr>
        <w:jc w:val="both"/>
        <w:rPr>
          <w:rFonts w:ascii="Garamond" w:hAnsi="Garamond"/>
          <w:sz w:val="22"/>
          <w:szCs w:val="22"/>
        </w:rPr>
      </w:pPr>
      <w:r w:rsidRPr="002F5957">
        <w:rPr>
          <w:rFonts w:ascii="Garamond" w:hAnsi="Garamond"/>
          <w:sz w:val="22"/>
          <w:szCs w:val="22"/>
        </w:rPr>
        <w:t xml:space="preserve">Salarios: Todos los subsectores continúan reportando incrementos salariales acumulados. </w:t>
      </w:r>
    </w:p>
    <w:p w14:paraId="501790C4" w14:textId="77777777" w:rsidR="003E1ED2" w:rsidRPr="002F5957" w:rsidRDefault="003E1ED2" w:rsidP="003E1ED2">
      <w:pPr>
        <w:ind w:left="720"/>
        <w:jc w:val="both"/>
        <w:rPr>
          <w:rFonts w:ascii="Garamond" w:hAnsi="Garamond"/>
          <w:sz w:val="22"/>
          <w:szCs w:val="22"/>
        </w:rPr>
      </w:pPr>
    </w:p>
    <w:p w14:paraId="33199628" w14:textId="77777777" w:rsidR="003E1ED2" w:rsidRPr="002F5957" w:rsidRDefault="003E1ED2" w:rsidP="003E1ED2">
      <w:pPr>
        <w:jc w:val="both"/>
        <w:rPr>
          <w:rFonts w:ascii="Garamond" w:hAnsi="Garamond"/>
          <w:sz w:val="22"/>
          <w:szCs w:val="22"/>
        </w:rPr>
      </w:pPr>
      <w:r w:rsidRPr="002F5957">
        <w:rPr>
          <w:rFonts w:ascii="Garamond" w:hAnsi="Garamond"/>
          <w:sz w:val="22"/>
          <w:szCs w:val="22"/>
        </w:rPr>
        <w:t xml:space="preserve">Este panorama sugiere un sector que está logrando aumentar su facturación y ajustar remuneraciones al alza, pero que simultáneamente está optimizando sus estructuras de costos mediante la reducción de personal. </w:t>
      </w:r>
    </w:p>
    <w:p w14:paraId="77A24608" w14:textId="77777777" w:rsidR="003E1ED2" w:rsidRPr="002F5957" w:rsidRDefault="003E1ED2" w:rsidP="003E1ED2">
      <w:pPr>
        <w:jc w:val="both"/>
        <w:rPr>
          <w:rFonts w:ascii="Garamond" w:eastAsia="Calibri" w:hAnsi="Garamond" w:cs="Arial"/>
          <w:sz w:val="22"/>
          <w:szCs w:val="22"/>
        </w:rPr>
      </w:pPr>
    </w:p>
    <w:p w14:paraId="2765A861" w14:textId="77777777" w:rsidR="003E1ED2" w:rsidRPr="002F5957" w:rsidRDefault="003E1ED2" w:rsidP="003E1ED2">
      <w:pPr>
        <w:jc w:val="both"/>
        <w:rPr>
          <w:rFonts w:ascii="Garamond" w:eastAsia="Calibri" w:hAnsi="Garamond" w:cs="Arial"/>
          <w:sz w:val="22"/>
          <w:szCs w:val="22"/>
        </w:rPr>
      </w:pPr>
    </w:p>
    <w:p w14:paraId="01F9544E" w14:textId="77777777" w:rsidR="003E1ED2" w:rsidRPr="002F5957" w:rsidRDefault="003E1ED2" w:rsidP="003E1ED2">
      <w:pPr>
        <w:pStyle w:val="Prrafodelista"/>
        <w:numPr>
          <w:ilvl w:val="1"/>
          <w:numId w:val="10"/>
        </w:numPr>
        <w:tabs>
          <w:tab w:val="left" w:pos="142"/>
          <w:tab w:val="left" w:pos="567"/>
          <w:tab w:val="left" w:pos="8789"/>
        </w:tabs>
        <w:spacing w:after="0" w:line="240" w:lineRule="auto"/>
        <w:ind w:right="49"/>
        <w:jc w:val="both"/>
        <w:rPr>
          <w:rFonts w:ascii="Garamond" w:hAnsi="Garamond" w:cs="Arial"/>
          <w:b/>
          <w:bCs/>
        </w:rPr>
      </w:pPr>
      <w:r w:rsidRPr="002F5957">
        <w:rPr>
          <w:rFonts w:ascii="Garamond" w:hAnsi="Garamond" w:cs="Arial"/>
          <w:b/>
          <w:bCs/>
        </w:rPr>
        <w:t>EMPLEO Y DESEMPLEO:</w:t>
      </w:r>
    </w:p>
    <w:p w14:paraId="5523D740" w14:textId="77777777" w:rsidR="003E1ED2" w:rsidRPr="002F5957" w:rsidRDefault="003E1ED2" w:rsidP="003E1ED2">
      <w:pPr>
        <w:tabs>
          <w:tab w:val="left" w:pos="142"/>
          <w:tab w:val="left" w:pos="567"/>
          <w:tab w:val="left" w:pos="8789"/>
        </w:tabs>
        <w:ind w:left="360" w:right="49"/>
        <w:contextualSpacing/>
        <w:jc w:val="both"/>
        <w:rPr>
          <w:rFonts w:ascii="Garamond" w:eastAsia="Calibri" w:hAnsi="Garamond" w:cs="Arial"/>
          <w:sz w:val="22"/>
          <w:szCs w:val="22"/>
        </w:rPr>
      </w:pPr>
    </w:p>
    <w:p w14:paraId="5B05A4D1" w14:textId="77777777" w:rsidR="003E1ED2" w:rsidRPr="002F5957" w:rsidRDefault="003E1ED2" w:rsidP="003E1ED2">
      <w:pPr>
        <w:tabs>
          <w:tab w:val="left" w:pos="142"/>
          <w:tab w:val="left" w:pos="567"/>
          <w:tab w:val="left" w:pos="8789"/>
        </w:tabs>
        <w:ind w:right="49"/>
        <w:contextualSpacing/>
        <w:jc w:val="both"/>
        <w:rPr>
          <w:rFonts w:ascii="Garamond" w:eastAsia="Calibri" w:hAnsi="Garamond" w:cs="Arial"/>
          <w:sz w:val="22"/>
          <w:szCs w:val="22"/>
          <w:highlight w:val="yellow"/>
        </w:rPr>
      </w:pPr>
      <w:r w:rsidRPr="002F5957">
        <w:rPr>
          <w:rFonts w:ascii="Garamond" w:eastAsia="Garamond" w:hAnsi="Garamond" w:cs="Garamond"/>
          <w:sz w:val="22"/>
          <w:szCs w:val="22"/>
        </w:rPr>
        <w:t>En mayo de 2026, la tasa de desocupación en el total de las 13 ciudades y áreas metropolitanas fue 8,5%, mientras que en el mismo mes de 2025 fue 9,0%. La tasa global de participación se ubicó en 66,3%, en tanto que en mayo de 2025 fue 66,6%. Finalmente, la tasa de ocupación fue 60,6%, siendo similar a la registrada en el mismo mes del año anterior.</w:t>
      </w:r>
    </w:p>
    <w:p w14:paraId="0290CC5B" w14:textId="77777777" w:rsidR="003E1ED2" w:rsidRPr="002F5957" w:rsidRDefault="003E1ED2" w:rsidP="003E1ED2">
      <w:pPr>
        <w:tabs>
          <w:tab w:val="left" w:pos="142"/>
          <w:tab w:val="left" w:pos="567"/>
          <w:tab w:val="left" w:pos="8789"/>
        </w:tabs>
        <w:ind w:right="49"/>
        <w:contextualSpacing/>
        <w:jc w:val="both"/>
        <w:rPr>
          <w:rFonts w:ascii="Garamond" w:eastAsia="Calibri" w:hAnsi="Garamond" w:cs="Arial"/>
          <w:sz w:val="22"/>
          <w:szCs w:val="22"/>
        </w:rPr>
      </w:pPr>
    </w:p>
    <w:p w14:paraId="07FC7E27" w14:textId="77777777" w:rsidR="003E1ED2" w:rsidRPr="002F5957" w:rsidRDefault="003E1ED2" w:rsidP="003E1ED2">
      <w:pPr>
        <w:tabs>
          <w:tab w:val="left" w:pos="142"/>
          <w:tab w:val="left" w:pos="567"/>
          <w:tab w:val="left" w:pos="8789"/>
        </w:tabs>
        <w:ind w:right="49"/>
        <w:contextualSpacing/>
        <w:jc w:val="center"/>
        <w:rPr>
          <w:rFonts w:ascii="Garamond" w:hAnsi="Garamond"/>
          <w:sz w:val="22"/>
          <w:szCs w:val="22"/>
        </w:rPr>
      </w:pPr>
      <w:r w:rsidRPr="002F5957">
        <w:rPr>
          <w:rFonts w:ascii="Garamond" w:hAnsi="Garamond"/>
          <w:noProof/>
          <w:sz w:val="22"/>
          <w:szCs w:val="22"/>
        </w:rPr>
        <w:lastRenderedPageBreak/>
        <w:drawing>
          <wp:inline distT="0" distB="0" distL="0" distR="0" wp14:anchorId="43C2D38A" wp14:editId="243A2289">
            <wp:extent cx="5579745" cy="2334895"/>
            <wp:effectExtent l="0" t="0" r="1905" b="8255"/>
            <wp:docPr id="10169896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989606" name=""/>
                    <pic:cNvPicPr/>
                  </pic:nvPicPr>
                  <pic:blipFill>
                    <a:blip r:embed="rId26"/>
                    <a:stretch>
                      <a:fillRect/>
                    </a:stretch>
                  </pic:blipFill>
                  <pic:spPr>
                    <a:xfrm>
                      <a:off x="0" y="0"/>
                      <a:ext cx="5579745" cy="2334895"/>
                    </a:xfrm>
                    <a:prstGeom prst="rect">
                      <a:avLst/>
                    </a:prstGeom>
                  </pic:spPr>
                </pic:pic>
              </a:graphicData>
            </a:graphic>
          </wp:inline>
        </w:drawing>
      </w:r>
    </w:p>
    <w:p w14:paraId="7C804F65" w14:textId="77777777" w:rsidR="003E1ED2" w:rsidRPr="002F5957" w:rsidRDefault="003E1ED2" w:rsidP="003E1ED2">
      <w:pPr>
        <w:jc w:val="center"/>
        <w:rPr>
          <w:rFonts w:ascii="Garamond" w:eastAsia="Calibri" w:hAnsi="Garamond" w:cs="Arial"/>
          <w:sz w:val="22"/>
          <w:szCs w:val="22"/>
        </w:rPr>
      </w:pPr>
      <w:r w:rsidRPr="002F5957">
        <w:rPr>
          <w:rFonts w:ascii="Garamond" w:eastAsia="Calibri" w:hAnsi="Garamond" w:cs="Arial"/>
          <w:sz w:val="22"/>
          <w:szCs w:val="22"/>
        </w:rPr>
        <w:t>Fuente: Encuesta Mensual de Servicios (EMS) mayo 2026 p</w:t>
      </w:r>
    </w:p>
    <w:p w14:paraId="6172D37C" w14:textId="77777777" w:rsidR="003E1ED2" w:rsidRPr="002F5957" w:rsidRDefault="003E1ED2" w:rsidP="003E1ED2">
      <w:pPr>
        <w:pStyle w:val="Estudio"/>
        <w:rPr>
          <w:sz w:val="22"/>
          <w:szCs w:val="22"/>
        </w:rPr>
      </w:pPr>
    </w:p>
    <w:p w14:paraId="0D282C11" w14:textId="77777777" w:rsidR="003E1ED2" w:rsidRPr="002F5957" w:rsidRDefault="003E1ED2" w:rsidP="003E1ED2">
      <w:pPr>
        <w:pStyle w:val="Prrafodelista"/>
        <w:numPr>
          <w:ilvl w:val="1"/>
          <w:numId w:val="10"/>
        </w:numPr>
        <w:tabs>
          <w:tab w:val="left" w:pos="142"/>
          <w:tab w:val="left" w:pos="567"/>
          <w:tab w:val="left" w:pos="8789"/>
        </w:tabs>
        <w:spacing w:after="0" w:line="240" w:lineRule="auto"/>
        <w:ind w:right="49"/>
        <w:jc w:val="both"/>
        <w:rPr>
          <w:rFonts w:ascii="Garamond" w:hAnsi="Garamond" w:cs="Arial"/>
          <w:b/>
          <w:bCs/>
        </w:rPr>
      </w:pPr>
      <w:r w:rsidRPr="002F5957">
        <w:rPr>
          <w:rFonts w:ascii="Garamond" w:hAnsi="Garamond" w:cs="Arial"/>
          <w:b/>
          <w:bCs/>
        </w:rPr>
        <w:t>POBLACIÓN OCUPADA SEGÚN RAMA DE ACTIVIDAD:</w:t>
      </w:r>
    </w:p>
    <w:p w14:paraId="592F50DB" w14:textId="77777777" w:rsidR="003E1ED2" w:rsidRPr="002F5957" w:rsidRDefault="003E1ED2" w:rsidP="003E1ED2">
      <w:pPr>
        <w:tabs>
          <w:tab w:val="left" w:pos="142"/>
          <w:tab w:val="left" w:pos="567"/>
          <w:tab w:val="left" w:pos="8789"/>
        </w:tabs>
        <w:ind w:right="49"/>
        <w:jc w:val="both"/>
        <w:rPr>
          <w:rFonts w:ascii="Garamond" w:eastAsia="Calibri" w:hAnsi="Garamond" w:cs="Arial"/>
          <w:b/>
          <w:bCs/>
          <w:sz w:val="22"/>
          <w:szCs w:val="22"/>
        </w:rPr>
      </w:pPr>
    </w:p>
    <w:p w14:paraId="073DC2BF" w14:textId="77777777" w:rsidR="003E1ED2" w:rsidRPr="002F5957" w:rsidRDefault="003E1ED2" w:rsidP="003E1ED2">
      <w:pPr>
        <w:pStyle w:val="Estudio"/>
        <w:rPr>
          <w:rFonts w:eastAsia="Garamond" w:cs="Garamond"/>
          <w:bCs w:val="0"/>
          <w:kern w:val="0"/>
          <w:sz w:val="22"/>
          <w:szCs w:val="22"/>
          <w:lang w:eastAsia="es-MX"/>
        </w:rPr>
      </w:pPr>
      <w:r w:rsidRPr="002F5957">
        <w:rPr>
          <w:rFonts w:eastAsia="Garamond" w:cs="Garamond"/>
          <w:bCs w:val="0"/>
          <w:kern w:val="0"/>
          <w:sz w:val="22"/>
          <w:szCs w:val="22"/>
          <w:lang w:eastAsia="es-MX"/>
        </w:rPr>
        <w:t>En mayo de 2026, el número de personas ocupadas en el total nacional fue 24.583 mil personas. Las ramas que más aportaron positivamente a la variación de la población ocupada fueron Administración pública y defensa, educación y atención de la salud humana (1,7 puntos porcentuales); Industrias manufactureras (0,9 puntos porcentuales) y Actividades profesionales, científicas, técnicas y servicios administrativos (0,6 puntos porcentuales).</w:t>
      </w:r>
    </w:p>
    <w:p w14:paraId="6764BD0D" w14:textId="77777777" w:rsidR="003E1ED2" w:rsidRPr="002F5957" w:rsidRDefault="003E1ED2" w:rsidP="003E1ED2">
      <w:pPr>
        <w:pStyle w:val="Estudio"/>
        <w:rPr>
          <w:bCs w:val="0"/>
          <w:kern w:val="0"/>
          <w:sz w:val="22"/>
          <w:szCs w:val="22"/>
          <w:lang w:eastAsia="es-MX"/>
        </w:rPr>
      </w:pPr>
    </w:p>
    <w:p w14:paraId="1EB5873F" w14:textId="77777777" w:rsidR="003E1ED2" w:rsidRPr="002F5957" w:rsidRDefault="003E1ED2" w:rsidP="003E1ED2">
      <w:pPr>
        <w:pStyle w:val="Estudio"/>
        <w:jc w:val="center"/>
        <w:rPr>
          <w:sz w:val="22"/>
          <w:szCs w:val="22"/>
        </w:rPr>
      </w:pPr>
      <w:r w:rsidRPr="002F5957">
        <w:rPr>
          <w:noProof/>
          <w:sz w:val="22"/>
          <w:szCs w:val="22"/>
        </w:rPr>
        <w:drawing>
          <wp:inline distT="0" distB="0" distL="0" distR="0" wp14:anchorId="654BAD98" wp14:editId="234F9988">
            <wp:extent cx="5579745" cy="3009014"/>
            <wp:effectExtent l="0" t="0" r="1905" b="1270"/>
            <wp:docPr id="9454991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499102" name=""/>
                    <pic:cNvPicPr/>
                  </pic:nvPicPr>
                  <pic:blipFill>
                    <a:blip r:embed="rId27"/>
                    <a:stretch>
                      <a:fillRect/>
                    </a:stretch>
                  </pic:blipFill>
                  <pic:spPr>
                    <a:xfrm>
                      <a:off x="0" y="0"/>
                      <a:ext cx="5584817" cy="3011749"/>
                    </a:xfrm>
                    <a:prstGeom prst="rect">
                      <a:avLst/>
                    </a:prstGeom>
                  </pic:spPr>
                </pic:pic>
              </a:graphicData>
            </a:graphic>
          </wp:inline>
        </w:drawing>
      </w:r>
    </w:p>
    <w:p w14:paraId="35124877" w14:textId="77777777" w:rsidR="003E1ED2" w:rsidRPr="002F5957" w:rsidRDefault="003E1ED2" w:rsidP="003E1ED2">
      <w:pPr>
        <w:pStyle w:val="Estudio"/>
        <w:jc w:val="center"/>
        <w:rPr>
          <w:bCs w:val="0"/>
          <w:kern w:val="0"/>
          <w:sz w:val="22"/>
          <w:szCs w:val="22"/>
          <w:lang w:eastAsia="es-MX"/>
        </w:rPr>
      </w:pPr>
    </w:p>
    <w:p w14:paraId="1972C923" w14:textId="77777777" w:rsidR="003E1ED2" w:rsidRPr="002F5957" w:rsidRDefault="003E1ED2" w:rsidP="003E1ED2">
      <w:pPr>
        <w:pStyle w:val="Estudio"/>
        <w:jc w:val="center"/>
        <w:rPr>
          <w:sz w:val="22"/>
          <w:szCs w:val="22"/>
        </w:rPr>
      </w:pPr>
      <w:r w:rsidRPr="002F5957">
        <w:rPr>
          <w:kern w:val="0"/>
          <w:sz w:val="22"/>
          <w:szCs w:val="22"/>
          <w:lang w:eastAsia="es-MX"/>
        </w:rPr>
        <w:t xml:space="preserve">Fuente: </w:t>
      </w:r>
      <w:hyperlink r:id="rId28">
        <w:r w:rsidRPr="002F5957">
          <w:rPr>
            <w:rStyle w:val="Hipervnculo"/>
            <w:b/>
            <w:color w:val="0B57D0"/>
            <w:sz w:val="22"/>
            <w:szCs w:val="22"/>
          </w:rPr>
          <w:t>https://www.dane.gov.co/index.php/estadisticas-por-tema/mercado-laboral/empleo-y-desempleo</w:t>
        </w:r>
      </w:hyperlink>
    </w:p>
    <w:p w14:paraId="43D5393D" w14:textId="77777777" w:rsidR="003E1ED2" w:rsidRPr="00DD7EC6" w:rsidRDefault="003E1ED2" w:rsidP="003E1ED2">
      <w:pPr>
        <w:tabs>
          <w:tab w:val="left" w:pos="142"/>
          <w:tab w:val="left" w:pos="567"/>
          <w:tab w:val="left" w:pos="8789"/>
        </w:tabs>
        <w:ind w:right="49"/>
        <w:jc w:val="both"/>
        <w:rPr>
          <w:rFonts w:ascii="Garamond" w:eastAsia="Calibri" w:hAnsi="Garamond" w:cs="Arial"/>
          <w:sz w:val="22"/>
          <w:szCs w:val="22"/>
        </w:rPr>
      </w:pPr>
      <w:r w:rsidRPr="00DD7EC6">
        <w:rPr>
          <w:rFonts w:ascii="Garamond" w:eastAsia="Calibri" w:hAnsi="Garamond" w:cs="Arial"/>
          <w:sz w:val="22"/>
          <w:szCs w:val="22"/>
        </w:rPr>
        <w:lastRenderedPageBreak/>
        <w:t>De acuerdo con el Informe de Política Monetaria del Banco de la República correspondiente a abril de 2026, la economía colombiana continúa mostrando un proceso de recuperación, impulsado principalmente por el crecimiento del consumo de los hogares, la recuperación gradual de la inversión y el buen desempeño de algunos sectores productivos. No obstante, la inflación continúa ubicándose por encima de la meta de largo plazo del 3%, aunque mantiene una trayectoria descendente respecto a los niveles observados en años anteriores.</w:t>
      </w:r>
    </w:p>
    <w:p w14:paraId="6601A7C2" w14:textId="77777777" w:rsidR="003E1ED2" w:rsidRPr="00DD7EC6" w:rsidRDefault="003E1ED2" w:rsidP="003E1ED2">
      <w:pPr>
        <w:tabs>
          <w:tab w:val="left" w:pos="142"/>
          <w:tab w:val="left" w:pos="567"/>
          <w:tab w:val="left" w:pos="8789"/>
        </w:tabs>
        <w:ind w:right="49"/>
        <w:jc w:val="both"/>
        <w:rPr>
          <w:rFonts w:ascii="Garamond" w:eastAsia="Calibri" w:hAnsi="Garamond" w:cs="Arial"/>
          <w:sz w:val="22"/>
          <w:szCs w:val="22"/>
        </w:rPr>
      </w:pPr>
    </w:p>
    <w:p w14:paraId="688DAC12" w14:textId="77777777" w:rsidR="003E1ED2" w:rsidRPr="00DD7EC6" w:rsidRDefault="003E1ED2" w:rsidP="003E1ED2">
      <w:pPr>
        <w:tabs>
          <w:tab w:val="left" w:pos="142"/>
          <w:tab w:val="left" w:pos="567"/>
          <w:tab w:val="left" w:pos="8789"/>
        </w:tabs>
        <w:ind w:right="49"/>
        <w:jc w:val="both"/>
        <w:rPr>
          <w:rFonts w:ascii="Garamond" w:eastAsia="Calibri" w:hAnsi="Garamond" w:cs="Arial"/>
          <w:sz w:val="22"/>
          <w:szCs w:val="22"/>
        </w:rPr>
      </w:pPr>
      <w:r w:rsidRPr="00DD7EC6">
        <w:rPr>
          <w:rFonts w:ascii="Garamond" w:eastAsia="Calibri" w:hAnsi="Garamond" w:cs="Arial"/>
          <w:sz w:val="22"/>
          <w:szCs w:val="22"/>
        </w:rPr>
        <w:t>En este contexto, la Junta Directiva del Banco de la República ha mantenido una política monetaria prudente, orientada a consolidar el proceso de convergencia de la inflación hacia la meta, preservando al mismo tiempo la estabilidad macroeconómica y favoreciendo un crecimiento económico sostenible.</w:t>
      </w:r>
    </w:p>
    <w:p w14:paraId="1E0F0C47" w14:textId="77777777" w:rsidR="003E1ED2" w:rsidRPr="00DD7EC6" w:rsidRDefault="003E1ED2" w:rsidP="003E1ED2">
      <w:pPr>
        <w:tabs>
          <w:tab w:val="left" w:pos="142"/>
          <w:tab w:val="left" w:pos="567"/>
          <w:tab w:val="left" w:pos="8789"/>
        </w:tabs>
        <w:ind w:right="49"/>
        <w:jc w:val="both"/>
        <w:rPr>
          <w:rFonts w:ascii="Garamond" w:eastAsia="Calibri" w:hAnsi="Garamond" w:cs="Arial"/>
          <w:sz w:val="22"/>
          <w:szCs w:val="22"/>
        </w:rPr>
      </w:pPr>
    </w:p>
    <w:p w14:paraId="4256BC2F" w14:textId="77777777" w:rsidR="003E1ED2" w:rsidRPr="00DD7EC6" w:rsidRDefault="003E1ED2" w:rsidP="003E1ED2">
      <w:pPr>
        <w:tabs>
          <w:tab w:val="left" w:pos="142"/>
          <w:tab w:val="left" w:pos="567"/>
          <w:tab w:val="left" w:pos="8789"/>
        </w:tabs>
        <w:ind w:right="49"/>
        <w:jc w:val="both"/>
        <w:rPr>
          <w:rFonts w:ascii="Garamond" w:eastAsia="Calibri" w:hAnsi="Garamond" w:cs="Arial"/>
          <w:sz w:val="22"/>
          <w:szCs w:val="22"/>
        </w:rPr>
      </w:pPr>
      <w:r w:rsidRPr="00DD7EC6">
        <w:rPr>
          <w:rFonts w:ascii="Garamond" w:eastAsia="Calibri" w:hAnsi="Garamond" w:cs="Arial"/>
          <w:sz w:val="22"/>
          <w:szCs w:val="22"/>
        </w:rPr>
        <w:t>Las proyecciones del Banco de la República indican que la inflación continuará disminuyendo de manera gradual durante 2026, apoyada por la moderación de las presiones de demanda, la normalización de algunos costos de producción y el efecto de las decisiones de política monetaria adoptadas en los últimos años. Sin embargo, persisten riesgos asociados a factores internos y externos, entre ellos la volatilidad de los mercados internacionales, las tensiones geopolíticas, el comportamiento de la tasa de cambio, la evolución de los precios de los alimentos y la incertidumbre sobre los ajustes en algunos precios regulados.</w:t>
      </w:r>
    </w:p>
    <w:p w14:paraId="147E405A" w14:textId="77777777" w:rsidR="003E1ED2" w:rsidRPr="00DD7EC6" w:rsidRDefault="003E1ED2" w:rsidP="003E1ED2">
      <w:pPr>
        <w:tabs>
          <w:tab w:val="left" w:pos="142"/>
          <w:tab w:val="left" w:pos="567"/>
          <w:tab w:val="left" w:pos="8789"/>
        </w:tabs>
        <w:ind w:right="49"/>
        <w:jc w:val="both"/>
        <w:rPr>
          <w:rFonts w:ascii="Garamond" w:eastAsia="Calibri" w:hAnsi="Garamond" w:cs="Arial"/>
          <w:sz w:val="22"/>
          <w:szCs w:val="22"/>
        </w:rPr>
      </w:pPr>
    </w:p>
    <w:p w14:paraId="4A77780A" w14:textId="77777777" w:rsidR="003E1ED2" w:rsidRPr="00DD7EC6" w:rsidRDefault="003E1ED2" w:rsidP="003E1ED2">
      <w:pPr>
        <w:tabs>
          <w:tab w:val="left" w:pos="142"/>
          <w:tab w:val="left" w:pos="567"/>
          <w:tab w:val="left" w:pos="8789"/>
        </w:tabs>
        <w:ind w:right="49"/>
        <w:jc w:val="both"/>
        <w:rPr>
          <w:rFonts w:ascii="Garamond" w:eastAsia="Calibri" w:hAnsi="Garamond" w:cs="Arial"/>
          <w:sz w:val="22"/>
          <w:szCs w:val="22"/>
        </w:rPr>
      </w:pPr>
      <w:r w:rsidRPr="00DD7EC6">
        <w:rPr>
          <w:rFonts w:ascii="Garamond" w:eastAsia="Calibri" w:hAnsi="Garamond" w:cs="Arial"/>
          <w:sz w:val="22"/>
          <w:szCs w:val="22"/>
        </w:rPr>
        <w:t>Asimismo, el Banco de la República señala que el crecimiento económico mantiene una tendencia positiva, sustentado en la recuperación del consumo privado y de la inversión, así como en el fortalecimiento gradual de la actividad productiva. No obstante, el comportamiento futuro de la economía continuará condicionado por la evolución de la inflación, las condiciones financieras internacionales y la confianza de los agentes económicos.</w:t>
      </w:r>
    </w:p>
    <w:p w14:paraId="6444EC13" w14:textId="77777777" w:rsidR="003E1ED2" w:rsidRPr="00DD7EC6" w:rsidRDefault="003E1ED2" w:rsidP="003E1ED2">
      <w:pPr>
        <w:tabs>
          <w:tab w:val="left" w:pos="142"/>
          <w:tab w:val="left" w:pos="567"/>
          <w:tab w:val="left" w:pos="8789"/>
        </w:tabs>
        <w:ind w:right="49"/>
        <w:jc w:val="both"/>
        <w:rPr>
          <w:rFonts w:ascii="Garamond" w:eastAsia="Calibri" w:hAnsi="Garamond" w:cs="Arial"/>
          <w:sz w:val="22"/>
          <w:szCs w:val="22"/>
        </w:rPr>
      </w:pPr>
    </w:p>
    <w:p w14:paraId="2882A80E" w14:textId="701A4895" w:rsidR="00565911" w:rsidRPr="003E1ED2" w:rsidRDefault="003E1ED2" w:rsidP="00565911">
      <w:pPr>
        <w:tabs>
          <w:tab w:val="left" w:pos="142"/>
          <w:tab w:val="left" w:pos="567"/>
          <w:tab w:val="left" w:pos="8789"/>
        </w:tabs>
        <w:ind w:right="49"/>
        <w:jc w:val="both"/>
        <w:rPr>
          <w:rFonts w:ascii="Garamond" w:eastAsia="Calibri" w:hAnsi="Garamond" w:cs="Arial"/>
          <w:sz w:val="22"/>
          <w:szCs w:val="22"/>
        </w:rPr>
      </w:pPr>
      <w:r w:rsidRPr="00DD7EC6">
        <w:rPr>
          <w:rFonts w:ascii="Garamond" w:eastAsia="Calibri" w:hAnsi="Garamond" w:cs="Arial"/>
          <w:sz w:val="22"/>
          <w:szCs w:val="22"/>
        </w:rPr>
        <w:t>En este escenario, la política monetaria continúa orientada a garantizar la estabilidad de precios y a propiciar condiciones favorables para el crecimiento económico, lo cual contribuye a un entorno de mayor previsibilidad para la planeación financiera y la estructuración de procesos de contratación pública, al reducir la incertidumbre sobre la evolución de los costos y de las principales variables macroeconómicas que inciden en la ejecución de los contratos.</w:t>
      </w:r>
      <w:r w:rsidR="00565911" w:rsidRPr="00706E4B">
        <w:rPr>
          <w:rFonts w:ascii="Garamond" w:eastAsia="Garamond" w:hAnsi="Garamond" w:cs="Garamond"/>
          <w:sz w:val="24"/>
          <w:szCs w:val="24"/>
        </w:rPr>
        <w:t xml:space="preserve">  </w:t>
      </w:r>
    </w:p>
    <w:p w14:paraId="13FD5B16" w14:textId="799C12BC" w:rsidR="00E35634" w:rsidRPr="00706E4B" w:rsidRDefault="00E35634" w:rsidP="00A1695F">
      <w:pPr>
        <w:rPr>
          <w:rFonts w:ascii="Garamond" w:eastAsia="Arial" w:hAnsi="Garamond"/>
          <w:sz w:val="24"/>
          <w:szCs w:val="24"/>
          <w:highlight w:val="yellow"/>
        </w:rPr>
      </w:pPr>
    </w:p>
    <w:p w14:paraId="35426EA8" w14:textId="00AE4F5F" w:rsidR="00A1695F" w:rsidRPr="008361F3" w:rsidRDefault="00A1695F" w:rsidP="008361F3">
      <w:pPr>
        <w:pStyle w:val="Prrafodelista"/>
        <w:keepNext/>
        <w:numPr>
          <w:ilvl w:val="0"/>
          <w:numId w:val="19"/>
        </w:numPr>
        <w:autoSpaceDE w:val="0"/>
        <w:autoSpaceDN w:val="0"/>
        <w:jc w:val="both"/>
        <w:rPr>
          <w:rFonts w:ascii="Garamond" w:hAnsi="Garamond"/>
          <w:sz w:val="24"/>
          <w:szCs w:val="24"/>
        </w:rPr>
      </w:pPr>
      <w:r w:rsidRPr="008361F3">
        <w:rPr>
          <w:rFonts w:ascii="Garamond" w:eastAsia="Arial" w:hAnsi="Garamond" w:cs="Arial"/>
          <w:b/>
          <w:bCs/>
          <w:sz w:val="24"/>
          <w:szCs w:val="24"/>
        </w:rPr>
        <w:t>ES</w:t>
      </w:r>
      <w:r w:rsidR="008361F3" w:rsidRPr="008361F3">
        <w:rPr>
          <w:rFonts w:ascii="Garamond" w:eastAsia="Arial" w:hAnsi="Garamond" w:cs="Arial"/>
          <w:b/>
          <w:bCs/>
          <w:sz w:val="24"/>
          <w:szCs w:val="24"/>
        </w:rPr>
        <w:t>TUDIO DE LA OFERTA</w:t>
      </w:r>
    </w:p>
    <w:p w14:paraId="25D1BE8F" w14:textId="58163C8B" w:rsidR="008361F3" w:rsidRPr="008361F3" w:rsidRDefault="008361F3" w:rsidP="008361F3">
      <w:pPr>
        <w:keepNext/>
        <w:tabs>
          <w:tab w:val="left" w:pos="8080"/>
        </w:tabs>
        <w:autoSpaceDE w:val="0"/>
        <w:autoSpaceDN w:val="0"/>
        <w:jc w:val="both"/>
        <w:rPr>
          <w:rFonts w:ascii="Garamond" w:hAnsi="Garamond" w:cs="Arial"/>
          <w:b/>
          <w:bCs/>
          <w:sz w:val="24"/>
          <w:szCs w:val="24"/>
        </w:rPr>
      </w:pPr>
      <w:r>
        <w:rPr>
          <w:rFonts w:ascii="Garamond" w:hAnsi="Garamond" w:cs="Arial"/>
          <w:b/>
          <w:bCs/>
          <w:sz w:val="24"/>
          <w:szCs w:val="24"/>
        </w:rPr>
        <w:t xml:space="preserve">3.1 </w:t>
      </w:r>
      <w:r w:rsidRPr="008361F3">
        <w:rPr>
          <w:rFonts w:ascii="Garamond" w:hAnsi="Garamond" w:cs="Arial"/>
          <w:b/>
          <w:bCs/>
          <w:sz w:val="24"/>
          <w:szCs w:val="24"/>
        </w:rPr>
        <w:t>MODELO DE ABASTECIMIENTO ESTRATÉGICO – MAE</w:t>
      </w:r>
    </w:p>
    <w:p w14:paraId="7A883A4E" w14:textId="77777777" w:rsidR="008361F3" w:rsidRPr="008361F3" w:rsidRDefault="008361F3" w:rsidP="008361F3">
      <w:pPr>
        <w:keepNext/>
        <w:tabs>
          <w:tab w:val="left" w:pos="8080"/>
        </w:tabs>
        <w:autoSpaceDE w:val="0"/>
        <w:autoSpaceDN w:val="0"/>
        <w:jc w:val="both"/>
        <w:rPr>
          <w:rFonts w:ascii="Garamond" w:hAnsi="Garamond" w:cs="Arial"/>
          <w:b/>
          <w:bCs/>
          <w:sz w:val="24"/>
          <w:szCs w:val="24"/>
        </w:rPr>
      </w:pPr>
      <w:r w:rsidRPr="008361F3">
        <w:rPr>
          <w:rFonts w:ascii="Garamond" w:hAnsi="Garamond" w:cs="Arial"/>
          <w:b/>
          <w:bCs/>
          <w:sz w:val="24"/>
          <w:szCs w:val="24"/>
        </w:rPr>
        <w:t xml:space="preserve">HERRAMIENTA DE VISUALIZACIÓN PARA EL ANÁLISIS DE LA DEMANDA </w:t>
      </w:r>
      <w:bookmarkStart w:id="5" w:name="_Hlk143812611"/>
    </w:p>
    <w:p w14:paraId="5731B1AE" w14:textId="77777777" w:rsidR="008361F3" w:rsidRPr="008361F3" w:rsidRDefault="008361F3" w:rsidP="008361F3">
      <w:pPr>
        <w:keepNext/>
        <w:tabs>
          <w:tab w:val="left" w:pos="8080"/>
        </w:tabs>
        <w:autoSpaceDE w:val="0"/>
        <w:autoSpaceDN w:val="0"/>
        <w:jc w:val="both"/>
        <w:rPr>
          <w:rFonts w:ascii="Garamond" w:hAnsi="Garamond" w:cs="Arial"/>
          <w:b/>
          <w:bCs/>
          <w:sz w:val="24"/>
          <w:szCs w:val="24"/>
        </w:rPr>
      </w:pPr>
    </w:p>
    <w:p w14:paraId="287A370E" w14:textId="77777777" w:rsidR="008361F3" w:rsidRPr="008361F3" w:rsidRDefault="008361F3" w:rsidP="008361F3">
      <w:pPr>
        <w:keepNext/>
        <w:tabs>
          <w:tab w:val="left" w:pos="8080"/>
        </w:tabs>
        <w:autoSpaceDE w:val="0"/>
        <w:autoSpaceDN w:val="0"/>
        <w:jc w:val="both"/>
        <w:rPr>
          <w:rFonts w:ascii="Garamond" w:hAnsi="Garamond" w:cs="Arial"/>
          <w:sz w:val="24"/>
          <w:szCs w:val="24"/>
        </w:rPr>
      </w:pPr>
      <w:r w:rsidRPr="008361F3">
        <w:rPr>
          <w:rFonts w:ascii="Garamond" w:hAnsi="Garamond" w:cs="Arial"/>
          <w:sz w:val="24"/>
          <w:szCs w:val="24"/>
        </w:rPr>
        <w:t xml:space="preserve">La Agencia Nacional de Contratación – Colombia Compra Eficiente pone a disposición de las entidades estatales, la herramienta de visualización para el Análisis de Demanda, la cual permite de manera integral visualizar el comportamiento de compras histórico de la entidad. </w:t>
      </w:r>
    </w:p>
    <w:p w14:paraId="739EDB91" w14:textId="77777777" w:rsidR="008361F3" w:rsidRPr="008361F3" w:rsidRDefault="008361F3" w:rsidP="008361F3">
      <w:pPr>
        <w:shd w:val="clear" w:color="auto" w:fill="FFFFFF"/>
        <w:tabs>
          <w:tab w:val="left" w:pos="8080"/>
        </w:tabs>
        <w:jc w:val="both"/>
        <w:rPr>
          <w:rFonts w:ascii="Garamond" w:hAnsi="Garamond" w:cs="Arial"/>
          <w:sz w:val="24"/>
          <w:szCs w:val="24"/>
        </w:rPr>
      </w:pPr>
    </w:p>
    <w:p w14:paraId="305A2E75" w14:textId="7180BF99" w:rsidR="00A06C84" w:rsidRDefault="008361F3" w:rsidP="008361F3">
      <w:pPr>
        <w:pStyle w:val="Textoindependiente"/>
        <w:tabs>
          <w:tab w:val="left" w:pos="8080"/>
        </w:tabs>
        <w:jc w:val="both"/>
        <w:rPr>
          <w:rFonts w:ascii="Garamond" w:hAnsi="Garamond"/>
          <w:sz w:val="24"/>
          <w:szCs w:val="24"/>
        </w:rPr>
      </w:pPr>
      <w:r w:rsidRPr="008361F3">
        <w:rPr>
          <w:rFonts w:ascii="Garamond" w:hAnsi="Garamond"/>
          <w:sz w:val="24"/>
          <w:szCs w:val="24"/>
        </w:rPr>
        <w:t>Esta herramienta consolida la información que reposa en el SECOP (I, II y TVEC), presenta de manera organizada y estructurada datos históricos relacionados con las compras de la entidad. Es una herramienta dinámica que permite realizar filtros y búsquedas para hacer más robustos los análisis correspondientes.</w:t>
      </w:r>
    </w:p>
    <w:p w14:paraId="7343488A" w14:textId="77777777" w:rsidR="00A06C84" w:rsidRDefault="00A06C84">
      <w:pPr>
        <w:rPr>
          <w:rFonts w:ascii="Garamond" w:hAnsi="Garamond"/>
          <w:sz w:val="24"/>
          <w:szCs w:val="24"/>
        </w:rPr>
      </w:pPr>
      <w:r>
        <w:rPr>
          <w:rFonts w:ascii="Garamond" w:hAnsi="Garamond"/>
          <w:sz w:val="24"/>
          <w:szCs w:val="24"/>
        </w:rPr>
        <w:br w:type="page"/>
      </w:r>
    </w:p>
    <w:p w14:paraId="507A276C" w14:textId="5F4EC4B1" w:rsidR="008361F3" w:rsidRPr="008361F3" w:rsidRDefault="008361F3" w:rsidP="008361F3">
      <w:pPr>
        <w:pStyle w:val="Textoindependiente"/>
        <w:tabs>
          <w:tab w:val="left" w:pos="8080"/>
        </w:tabs>
        <w:jc w:val="both"/>
        <w:rPr>
          <w:rFonts w:ascii="Garamond" w:hAnsi="Garamond"/>
          <w:b/>
          <w:bCs/>
          <w:sz w:val="24"/>
          <w:szCs w:val="24"/>
        </w:rPr>
      </w:pPr>
      <w:r w:rsidRPr="008361F3">
        <w:rPr>
          <w:rFonts w:ascii="Garamond" w:hAnsi="Garamond"/>
          <w:b/>
          <w:bCs/>
          <w:sz w:val="24"/>
          <w:szCs w:val="24"/>
        </w:rPr>
        <w:lastRenderedPageBreak/>
        <w:t xml:space="preserve">3.1.1 ANÁLISIS DE LA DEMANDA </w:t>
      </w:r>
    </w:p>
    <w:p w14:paraId="794734AB" w14:textId="77777777" w:rsidR="008361F3" w:rsidRPr="008361F3" w:rsidRDefault="008361F3" w:rsidP="008361F3">
      <w:pPr>
        <w:tabs>
          <w:tab w:val="left" w:pos="8080"/>
        </w:tabs>
        <w:jc w:val="both"/>
        <w:rPr>
          <w:rFonts w:ascii="Garamond" w:hAnsi="Garamond" w:cs="Arial"/>
          <w:bCs/>
          <w:sz w:val="24"/>
          <w:szCs w:val="24"/>
        </w:rPr>
      </w:pPr>
      <w:r w:rsidRPr="008361F3">
        <w:rPr>
          <w:rFonts w:ascii="Garamond" w:hAnsi="Garamond" w:cs="Arial"/>
          <w:bCs/>
          <w:sz w:val="24"/>
          <w:szCs w:val="24"/>
        </w:rPr>
        <w:t>De acuerdo con el análisis de demanda del Modelo de Abastecimiento estratégico – MAE</w:t>
      </w:r>
    </w:p>
    <w:p w14:paraId="3BBC8D8A" w14:textId="77777777" w:rsidR="008361F3" w:rsidRPr="008361F3" w:rsidRDefault="008361F3" w:rsidP="008361F3">
      <w:pPr>
        <w:tabs>
          <w:tab w:val="left" w:pos="8080"/>
        </w:tabs>
        <w:jc w:val="both"/>
        <w:rPr>
          <w:rFonts w:ascii="Garamond" w:hAnsi="Garamond" w:cs="Arial"/>
          <w:bCs/>
          <w:sz w:val="24"/>
          <w:szCs w:val="24"/>
        </w:rPr>
      </w:pPr>
    </w:p>
    <w:p w14:paraId="4B8EC611" w14:textId="77777777" w:rsidR="008361F3" w:rsidRPr="008361F3" w:rsidRDefault="008361F3" w:rsidP="008361F3">
      <w:pPr>
        <w:pStyle w:val="Textoindependiente"/>
        <w:tabs>
          <w:tab w:val="left" w:pos="8080"/>
        </w:tabs>
        <w:spacing w:after="0"/>
        <w:ind w:right="227"/>
        <w:jc w:val="both"/>
        <w:rPr>
          <w:rFonts w:ascii="Garamond" w:hAnsi="Garamond"/>
          <w:bCs/>
          <w:sz w:val="24"/>
          <w:szCs w:val="24"/>
        </w:rPr>
      </w:pPr>
      <w:r w:rsidRPr="008361F3">
        <w:rPr>
          <w:rFonts w:ascii="Garamond" w:hAnsi="Garamond"/>
          <w:bCs/>
          <w:noProof/>
          <w:sz w:val="24"/>
          <w:szCs w:val="24"/>
          <w14:ligatures w14:val="standardContextual"/>
        </w:rPr>
        <w:drawing>
          <wp:inline distT="0" distB="0" distL="0" distR="0" wp14:anchorId="3F63B862" wp14:editId="3D515D1E">
            <wp:extent cx="5612130" cy="2177415"/>
            <wp:effectExtent l="0" t="0" r="7620" b="0"/>
            <wp:docPr id="1405523496" name="Imagen 1" descr="Interfaz de usuario gráfica, 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523496" name="Imagen 1" descr="Interfaz de usuario gráfica, Gráfico, Gráfico de líneas&#10;&#10;El contenido generado por IA puede ser incorrecto."/>
                    <pic:cNvPicPr/>
                  </pic:nvPicPr>
                  <pic:blipFill>
                    <a:blip r:embed="rId29">
                      <a:extLst>
                        <a:ext uri="{28A0092B-C50C-407E-A947-70E740481C1C}">
                          <a14:useLocalDpi xmlns:a14="http://schemas.microsoft.com/office/drawing/2010/main" val="0"/>
                        </a:ext>
                      </a:extLst>
                    </a:blip>
                    <a:stretch>
                      <a:fillRect/>
                    </a:stretch>
                  </pic:blipFill>
                  <pic:spPr>
                    <a:xfrm>
                      <a:off x="0" y="0"/>
                      <a:ext cx="5612130" cy="2177415"/>
                    </a:xfrm>
                    <a:prstGeom prst="rect">
                      <a:avLst/>
                    </a:prstGeom>
                  </pic:spPr>
                </pic:pic>
              </a:graphicData>
            </a:graphic>
          </wp:inline>
        </w:drawing>
      </w:r>
    </w:p>
    <w:bookmarkEnd w:id="5"/>
    <w:p w14:paraId="3F515956" w14:textId="77777777" w:rsidR="008361F3" w:rsidRPr="008361F3" w:rsidRDefault="008361F3" w:rsidP="008361F3">
      <w:pPr>
        <w:tabs>
          <w:tab w:val="left" w:pos="8080"/>
        </w:tabs>
        <w:jc w:val="both"/>
        <w:rPr>
          <w:rFonts w:ascii="Garamond" w:hAnsi="Garamond" w:cs="Arial"/>
          <w:bCs/>
          <w:sz w:val="24"/>
          <w:szCs w:val="24"/>
        </w:rPr>
      </w:pPr>
    </w:p>
    <w:p w14:paraId="2EDD05F2" w14:textId="77777777" w:rsidR="008361F3" w:rsidRPr="008361F3" w:rsidRDefault="008361F3" w:rsidP="008361F3">
      <w:pPr>
        <w:tabs>
          <w:tab w:val="left" w:pos="8080"/>
        </w:tabs>
        <w:jc w:val="both"/>
        <w:rPr>
          <w:rFonts w:ascii="Garamond" w:hAnsi="Garamond" w:cs="Arial"/>
          <w:bCs/>
          <w:sz w:val="24"/>
          <w:szCs w:val="24"/>
        </w:rPr>
      </w:pPr>
      <w:r w:rsidRPr="008361F3">
        <w:rPr>
          <w:rFonts w:ascii="Garamond" w:hAnsi="Garamond" w:cs="Arial"/>
          <w:bCs/>
          <w:sz w:val="24"/>
          <w:szCs w:val="24"/>
        </w:rPr>
        <w:t xml:space="preserve">De acuerdo con el análisis de demanda del Modelo de Abastecimiento estratégico – MAE, el gasto realizado entre la vigencia 2026 y lo corrido del año 2026 (1 enero de 2026 al 12 de mayo de 2026) en el portal del SECOP II con la siguiente familia, Clasificador de Bienes y Servicios – Familia 8610- Formación profesional, 9010-restaurantes y catering, 8614- Instalaciones educativas, 8611- sistemas educativos alternativos, 4411- accesorios de oficina y escritorio, 4412- suministros de oficina, 1410- Materiales de papel. </w:t>
      </w:r>
    </w:p>
    <w:p w14:paraId="7039D640" w14:textId="77777777" w:rsidR="008361F3" w:rsidRPr="008361F3" w:rsidRDefault="008361F3" w:rsidP="008361F3">
      <w:pPr>
        <w:tabs>
          <w:tab w:val="left" w:pos="8080"/>
        </w:tabs>
        <w:jc w:val="both"/>
        <w:rPr>
          <w:rFonts w:ascii="Garamond" w:hAnsi="Garamond" w:cs="Arial"/>
          <w:sz w:val="24"/>
          <w:szCs w:val="24"/>
        </w:rPr>
      </w:pPr>
      <w:r w:rsidRPr="008361F3">
        <w:rPr>
          <w:rFonts w:ascii="Garamond" w:hAnsi="Garamond" w:cs="Arial"/>
          <w:noProof/>
          <w:sz w:val="24"/>
          <w:szCs w:val="24"/>
          <w14:ligatures w14:val="standardContextual"/>
        </w:rPr>
        <w:drawing>
          <wp:inline distT="0" distB="0" distL="0" distR="0" wp14:anchorId="356FEB0B" wp14:editId="756E0E8E">
            <wp:extent cx="5612130" cy="2141220"/>
            <wp:effectExtent l="0" t="0" r="7620" b="0"/>
            <wp:docPr id="802240574" name="Imagen 2"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240574" name="Imagen 2" descr="Gráfico&#10;&#10;El contenido generado por IA puede ser incorrecto."/>
                    <pic:cNvPicPr/>
                  </pic:nvPicPr>
                  <pic:blipFill>
                    <a:blip r:embed="rId30">
                      <a:extLst>
                        <a:ext uri="{28A0092B-C50C-407E-A947-70E740481C1C}">
                          <a14:useLocalDpi xmlns:a14="http://schemas.microsoft.com/office/drawing/2010/main" val="0"/>
                        </a:ext>
                      </a:extLst>
                    </a:blip>
                    <a:stretch>
                      <a:fillRect/>
                    </a:stretch>
                  </pic:blipFill>
                  <pic:spPr>
                    <a:xfrm>
                      <a:off x="0" y="0"/>
                      <a:ext cx="5612130" cy="2141220"/>
                    </a:xfrm>
                    <a:prstGeom prst="rect">
                      <a:avLst/>
                    </a:prstGeom>
                  </pic:spPr>
                </pic:pic>
              </a:graphicData>
            </a:graphic>
          </wp:inline>
        </w:drawing>
      </w:r>
    </w:p>
    <w:p w14:paraId="75DD3E12" w14:textId="77777777" w:rsidR="008361F3" w:rsidRPr="008361F3" w:rsidRDefault="008361F3" w:rsidP="008361F3">
      <w:pPr>
        <w:tabs>
          <w:tab w:val="left" w:pos="8080"/>
        </w:tabs>
        <w:jc w:val="both"/>
        <w:rPr>
          <w:rFonts w:ascii="Garamond" w:hAnsi="Garamond" w:cs="Arial"/>
          <w:sz w:val="24"/>
          <w:szCs w:val="24"/>
        </w:rPr>
      </w:pPr>
    </w:p>
    <w:p w14:paraId="43A33D3D" w14:textId="77777777" w:rsidR="008361F3" w:rsidRPr="008361F3" w:rsidRDefault="008361F3" w:rsidP="008361F3">
      <w:pPr>
        <w:tabs>
          <w:tab w:val="left" w:pos="8080"/>
        </w:tabs>
        <w:jc w:val="both"/>
        <w:rPr>
          <w:rFonts w:ascii="Garamond" w:hAnsi="Garamond" w:cs="Arial"/>
          <w:bCs/>
          <w:sz w:val="24"/>
          <w:szCs w:val="24"/>
        </w:rPr>
      </w:pPr>
      <w:r w:rsidRPr="008361F3">
        <w:rPr>
          <w:rFonts w:ascii="Garamond" w:hAnsi="Garamond" w:cs="Arial"/>
          <w:bCs/>
          <w:sz w:val="24"/>
          <w:szCs w:val="24"/>
        </w:rPr>
        <w:t>El análisis de la demanda, el cual fue consultado en el MAE de Colombia Compra Eficiente, en lo transcurrido en el año 2026 y lo transcurrido de la presente vigencia 2026 (01/01/2026 al 5/12/2026) arroja un gasto total de $892.937.043.802 registrado en el mes de mayo de 2026 y con un total de 8.620 contratos.</w:t>
      </w:r>
    </w:p>
    <w:p w14:paraId="68711B02" w14:textId="77777777" w:rsidR="008361F3" w:rsidRPr="008361F3" w:rsidRDefault="008361F3" w:rsidP="008361F3">
      <w:pPr>
        <w:tabs>
          <w:tab w:val="left" w:pos="8080"/>
        </w:tabs>
        <w:jc w:val="both"/>
        <w:rPr>
          <w:rFonts w:ascii="Garamond" w:hAnsi="Garamond" w:cs="Arial"/>
          <w:sz w:val="24"/>
          <w:szCs w:val="24"/>
        </w:rPr>
      </w:pPr>
    </w:p>
    <w:p w14:paraId="5626115D" w14:textId="77777777" w:rsidR="008361F3" w:rsidRPr="008361F3" w:rsidRDefault="008361F3" w:rsidP="008361F3">
      <w:pPr>
        <w:tabs>
          <w:tab w:val="left" w:pos="8080"/>
        </w:tabs>
        <w:jc w:val="both"/>
        <w:rPr>
          <w:rFonts w:ascii="Garamond" w:hAnsi="Garamond" w:cs="Arial"/>
          <w:sz w:val="24"/>
          <w:szCs w:val="24"/>
        </w:rPr>
      </w:pPr>
      <w:r w:rsidRPr="008361F3">
        <w:rPr>
          <w:rFonts w:ascii="Garamond" w:hAnsi="Garamond" w:cs="Arial"/>
          <w:noProof/>
          <w:sz w:val="24"/>
          <w:szCs w:val="24"/>
          <w14:ligatures w14:val="standardContextual"/>
        </w:rPr>
        <w:lastRenderedPageBreak/>
        <w:drawing>
          <wp:inline distT="0" distB="0" distL="0" distR="0" wp14:anchorId="00FA05CC" wp14:editId="1A314271">
            <wp:extent cx="5612130" cy="2701925"/>
            <wp:effectExtent l="0" t="0" r="7620" b="3175"/>
            <wp:docPr id="1722625273" name="Imagen 3"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25273" name="Imagen 3" descr="Gráfico&#10;&#10;El contenido generado por IA puede ser incorrecto."/>
                    <pic:cNvPicPr/>
                  </pic:nvPicPr>
                  <pic:blipFill>
                    <a:blip r:embed="rId31">
                      <a:extLst>
                        <a:ext uri="{28A0092B-C50C-407E-A947-70E740481C1C}">
                          <a14:useLocalDpi xmlns:a14="http://schemas.microsoft.com/office/drawing/2010/main" val="0"/>
                        </a:ext>
                      </a:extLst>
                    </a:blip>
                    <a:stretch>
                      <a:fillRect/>
                    </a:stretch>
                  </pic:blipFill>
                  <pic:spPr>
                    <a:xfrm>
                      <a:off x="0" y="0"/>
                      <a:ext cx="5612130" cy="2701925"/>
                    </a:xfrm>
                    <a:prstGeom prst="rect">
                      <a:avLst/>
                    </a:prstGeom>
                  </pic:spPr>
                </pic:pic>
              </a:graphicData>
            </a:graphic>
          </wp:inline>
        </w:drawing>
      </w:r>
    </w:p>
    <w:p w14:paraId="0D74FD5F" w14:textId="77777777" w:rsidR="008361F3" w:rsidRPr="008361F3" w:rsidRDefault="008361F3" w:rsidP="008361F3">
      <w:pPr>
        <w:tabs>
          <w:tab w:val="left" w:pos="8080"/>
        </w:tabs>
        <w:jc w:val="both"/>
        <w:rPr>
          <w:rFonts w:ascii="Garamond" w:hAnsi="Garamond" w:cs="Arial"/>
          <w:bCs/>
          <w:sz w:val="24"/>
          <w:szCs w:val="24"/>
        </w:rPr>
      </w:pPr>
      <w:r w:rsidRPr="008361F3">
        <w:rPr>
          <w:rFonts w:ascii="Garamond" w:hAnsi="Garamond"/>
          <w:bCs/>
          <w:sz w:val="24"/>
          <w:szCs w:val="24"/>
        </w:rPr>
        <w:t>El valor estimado de los contratos por familia corresponde a 8.620</w:t>
      </w:r>
      <w:r w:rsidRPr="008361F3">
        <w:rPr>
          <w:rFonts w:ascii="Garamond" w:hAnsi="Garamond" w:cs="Arial"/>
          <w:bCs/>
          <w:sz w:val="24"/>
          <w:szCs w:val="24"/>
        </w:rPr>
        <w:t xml:space="preserve"> </w:t>
      </w:r>
      <w:r w:rsidRPr="008361F3">
        <w:rPr>
          <w:rFonts w:ascii="Garamond" w:hAnsi="Garamond"/>
          <w:bCs/>
          <w:sz w:val="24"/>
          <w:szCs w:val="24"/>
        </w:rPr>
        <w:t>contratos entre</w:t>
      </w:r>
      <w:r w:rsidRPr="008361F3">
        <w:rPr>
          <w:rFonts w:ascii="Garamond" w:hAnsi="Garamond" w:cs="Arial"/>
          <w:bCs/>
          <w:sz w:val="24"/>
          <w:szCs w:val="24"/>
        </w:rPr>
        <w:t xml:space="preserve"> – Familia 8610- Formación profesional, 9010-restaurantes y catering, 8614- Instalaciones educativas, 8611- sistemas educativos alternativos, 4411- accesorios de oficina y escritorio, 4412- suministros de oficina, 1410- Materiales de papel.</w:t>
      </w:r>
    </w:p>
    <w:p w14:paraId="5C28DE28" w14:textId="77777777" w:rsidR="008361F3" w:rsidRPr="008361F3" w:rsidRDefault="008361F3" w:rsidP="008361F3">
      <w:pPr>
        <w:tabs>
          <w:tab w:val="left" w:pos="8080"/>
        </w:tabs>
        <w:jc w:val="both"/>
        <w:rPr>
          <w:rFonts w:ascii="Garamond" w:hAnsi="Garamond" w:cs="Arial"/>
          <w:bCs/>
          <w:sz w:val="24"/>
          <w:szCs w:val="24"/>
        </w:rPr>
      </w:pPr>
    </w:p>
    <w:p w14:paraId="26DF8AA9" w14:textId="77777777" w:rsidR="008361F3" w:rsidRPr="008361F3" w:rsidRDefault="008361F3" w:rsidP="008361F3">
      <w:pPr>
        <w:pStyle w:val="Textoindependiente"/>
        <w:tabs>
          <w:tab w:val="left" w:pos="8080"/>
        </w:tabs>
        <w:ind w:right="229"/>
        <w:jc w:val="both"/>
        <w:rPr>
          <w:rFonts w:ascii="Garamond" w:hAnsi="Garamond"/>
          <w:bCs/>
          <w:sz w:val="24"/>
          <w:szCs w:val="24"/>
        </w:rPr>
      </w:pPr>
      <w:r w:rsidRPr="008361F3">
        <w:rPr>
          <w:rFonts w:ascii="Garamond" w:hAnsi="Garamond"/>
          <w:bCs/>
          <w:sz w:val="24"/>
          <w:szCs w:val="24"/>
        </w:rPr>
        <w:t>A continuación, se encuentra la clasificación de las familias de acuerdo con la clasificación por cantidad de contratos y valor de las transacciones, registrando la siguiente información en 2026:</w:t>
      </w:r>
    </w:p>
    <w:p w14:paraId="68D73EF9" w14:textId="77777777" w:rsidR="008361F3" w:rsidRPr="008361F3" w:rsidRDefault="008361F3" w:rsidP="008361F3">
      <w:pPr>
        <w:widowControl w:val="0"/>
        <w:tabs>
          <w:tab w:val="left" w:pos="841"/>
          <w:tab w:val="left" w:pos="842"/>
          <w:tab w:val="left" w:pos="8080"/>
        </w:tabs>
        <w:autoSpaceDE w:val="0"/>
        <w:autoSpaceDN w:val="0"/>
        <w:jc w:val="both"/>
        <w:rPr>
          <w:rFonts w:ascii="Garamond" w:hAnsi="Garamond" w:cs="Arial"/>
          <w:bCs/>
          <w:sz w:val="24"/>
          <w:szCs w:val="24"/>
        </w:rPr>
      </w:pPr>
    </w:p>
    <w:p w14:paraId="2497BE89" w14:textId="77777777" w:rsidR="008361F3" w:rsidRPr="008361F3" w:rsidRDefault="008361F3" w:rsidP="008361F3">
      <w:pPr>
        <w:pStyle w:val="Textoindependiente"/>
        <w:widowControl w:val="0"/>
        <w:numPr>
          <w:ilvl w:val="0"/>
          <w:numId w:val="18"/>
        </w:numPr>
        <w:tabs>
          <w:tab w:val="left" w:pos="8080"/>
        </w:tabs>
        <w:autoSpaceDE w:val="0"/>
        <w:autoSpaceDN w:val="0"/>
        <w:spacing w:before="1" w:after="0" w:line="267" w:lineRule="exact"/>
        <w:jc w:val="both"/>
        <w:rPr>
          <w:rFonts w:ascii="Garamond" w:hAnsi="Garamond"/>
          <w:bCs/>
          <w:sz w:val="24"/>
          <w:szCs w:val="24"/>
        </w:rPr>
      </w:pPr>
      <w:r w:rsidRPr="008361F3">
        <w:rPr>
          <w:rFonts w:ascii="Garamond" w:hAnsi="Garamond"/>
          <w:bCs/>
          <w:sz w:val="24"/>
          <w:szCs w:val="24"/>
        </w:rPr>
        <w:t>Mayor participación la familia 8610– formación profesional con 6.398 contratos por un valor de $438.466.035.696 y un 44,89% de participación.</w:t>
      </w:r>
    </w:p>
    <w:p w14:paraId="6C754CB5" w14:textId="77777777" w:rsidR="008361F3" w:rsidRPr="008361F3" w:rsidRDefault="008361F3" w:rsidP="008361F3">
      <w:pPr>
        <w:pStyle w:val="Textoindependiente"/>
        <w:widowControl w:val="0"/>
        <w:numPr>
          <w:ilvl w:val="0"/>
          <w:numId w:val="18"/>
        </w:numPr>
        <w:tabs>
          <w:tab w:val="left" w:pos="8080"/>
        </w:tabs>
        <w:autoSpaceDE w:val="0"/>
        <w:autoSpaceDN w:val="0"/>
        <w:spacing w:before="1" w:after="0" w:line="267" w:lineRule="exact"/>
        <w:jc w:val="both"/>
        <w:rPr>
          <w:rFonts w:ascii="Garamond" w:hAnsi="Garamond"/>
          <w:bCs/>
          <w:sz w:val="24"/>
          <w:szCs w:val="24"/>
        </w:rPr>
      </w:pPr>
      <w:r w:rsidRPr="008361F3">
        <w:rPr>
          <w:rFonts w:ascii="Garamond" w:hAnsi="Garamond"/>
          <w:bCs/>
          <w:sz w:val="24"/>
          <w:szCs w:val="24"/>
        </w:rPr>
        <w:t xml:space="preserve">Seguido de la familia 9010- Restaurantes y catering </w:t>
      </w:r>
      <w:r w:rsidRPr="008361F3">
        <w:rPr>
          <w:rFonts w:ascii="Garamond" w:hAnsi="Garamond" w:cs="Arial"/>
          <w:bCs/>
          <w:sz w:val="24"/>
          <w:szCs w:val="24"/>
        </w:rPr>
        <w:t xml:space="preserve">con 1.023 </w:t>
      </w:r>
      <w:r w:rsidRPr="008361F3">
        <w:rPr>
          <w:rFonts w:ascii="Garamond" w:hAnsi="Garamond"/>
          <w:bCs/>
          <w:sz w:val="24"/>
          <w:szCs w:val="24"/>
        </w:rPr>
        <w:t>contratos por un valor de $302.222.148.316 y un 30,94% de participación.</w:t>
      </w:r>
    </w:p>
    <w:p w14:paraId="6B0CABC5" w14:textId="77777777" w:rsidR="008361F3" w:rsidRPr="008361F3" w:rsidRDefault="008361F3" w:rsidP="008361F3">
      <w:pPr>
        <w:pStyle w:val="Textoindependiente"/>
        <w:widowControl w:val="0"/>
        <w:numPr>
          <w:ilvl w:val="0"/>
          <w:numId w:val="18"/>
        </w:numPr>
        <w:tabs>
          <w:tab w:val="left" w:pos="8080"/>
        </w:tabs>
        <w:autoSpaceDE w:val="0"/>
        <w:autoSpaceDN w:val="0"/>
        <w:spacing w:before="1" w:after="0" w:line="267" w:lineRule="exact"/>
        <w:jc w:val="both"/>
        <w:rPr>
          <w:rFonts w:ascii="Garamond" w:hAnsi="Garamond"/>
          <w:bCs/>
          <w:sz w:val="24"/>
          <w:szCs w:val="24"/>
        </w:rPr>
      </w:pPr>
      <w:r w:rsidRPr="008361F3">
        <w:rPr>
          <w:rFonts w:ascii="Garamond" w:hAnsi="Garamond"/>
          <w:bCs/>
          <w:sz w:val="24"/>
          <w:szCs w:val="24"/>
        </w:rPr>
        <w:t>Familia 8614- Instalaciones educativas con 362 contratos por un valor de $118.999.729.515 y un 12,18% de participación.</w:t>
      </w:r>
    </w:p>
    <w:p w14:paraId="602693AF" w14:textId="77777777" w:rsidR="008361F3" w:rsidRPr="008361F3" w:rsidRDefault="008361F3" w:rsidP="008361F3">
      <w:pPr>
        <w:pStyle w:val="Textoindependiente"/>
        <w:widowControl w:val="0"/>
        <w:numPr>
          <w:ilvl w:val="0"/>
          <w:numId w:val="18"/>
        </w:numPr>
        <w:tabs>
          <w:tab w:val="left" w:pos="8080"/>
        </w:tabs>
        <w:autoSpaceDE w:val="0"/>
        <w:autoSpaceDN w:val="0"/>
        <w:spacing w:before="1" w:after="0" w:line="267" w:lineRule="exact"/>
        <w:jc w:val="both"/>
        <w:rPr>
          <w:rFonts w:ascii="Garamond" w:hAnsi="Garamond"/>
          <w:bCs/>
          <w:sz w:val="24"/>
          <w:szCs w:val="24"/>
        </w:rPr>
      </w:pPr>
      <w:r w:rsidRPr="008361F3">
        <w:rPr>
          <w:rFonts w:ascii="Garamond" w:hAnsi="Garamond"/>
          <w:bCs/>
          <w:sz w:val="24"/>
          <w:szCs w:val="24"/>
        </w:rPr>
        <w:t>Familia 8611- sistemas educativos alternativos con 520 contratos por un valor de $95.438.320.944 y un 9,77% de participación.</w:t>
      </w:r>
    </w:p>
    <w:p w14:paraId="42FC88CD" w14:textId="77777777" w:rsidR="008361F3" w:rsidRPr="008361F3" w:rsidRDefault="008361F3" w:rsidP="008361F3">
      <w:pPr>
        <w:pStyle w:val="Textoindependiente"/>
        <w:widowControl w:val="0"/>
        <w:numPr>
          <w:ilvl w:val="0"/>
          <w:numId w:val="18"/>
        </w:numPr>
        <w:tabs>
          <w:tab w:val="left" w:pos="8080"/>
        </w:tabs>
        <w:autoSpaceDE w:val="0"/>
        <w:autoSpaceDN w:val="0"/>
        <w:spacing w:before="1" w:after="0" w:line="267" w:lineRule="exact"/>
        <w:jc w:val="both"/>
        <w:rPr>
          <w:rFonts w:ascii="Garamond" w:hAnsi="Garamond"/>
          <w:bCs/>
          <w:sz w:val="24"/>
          <w:szCs w:val="24"/>
        </w:rPr>
      </w:pPr>
      <w:r w:rsidRPr="008361F3">
        <w:rPr>
          <w:rFonts w:ascii="Garamond" w:hAnsi="Garamond"/>
          <w:bCs/>
          <w:sz w:val="24"/>
          <w:szCs w:val="24"/>
        </w:rPr>
        <w:t>Familia 4411- accesorios de oficina y escritorio con 99 contratos por un valor de $12.725.957.578 y un 1,30% de participación.</w:t>
      </w:r>
    </w:p>
    <w:p w14:paraId="6D18ED59" w14:textId="77777777" w:rsidR="008361F3" w:rsidRPr="008361F3" w:rsidRDefault="008361F3" w:rsidP="008361F3">
      <w:pPr>
        <w:pStyle w:val="Textoindependiente"/>
        <w:widowControl w:val="0"/>
        <w:numPr>
          <w:ilvl w:val="0"/>
          <w:numId w:val="18"/>
        </w:numPr>
        <w:tabs>
          <w:tab w:val="left" w:pos="8080"/>
        </w:tabs>
        <w:autoSpaceDE w:val="0"/>
        <w:autoSpaceDN w:val="0"/>
        <w:spacing w:before="1" w:after="0" w:line="267" w:lineRule="exact"/>
        <w:jc w:val="both"/>
        <w:rPr>
          <w:rFonts w:ascii="Garamond" w:hAnsi="Garamond"/>
          <w:bCs/>
          <w:sz w:val="24"/>
          <w:szCs w:val="24"/>
        </w:rPr>
      </w:pPr>
      <w:r w:rsidRPr="008361F3">
        <w:rPr>
          <w:rFonts w:ascii="Garamond" w:hAnsi="Garamond"/>
          <w:bCs/>
          <w:sz w:val="24"/>
          <w:szCs w:val="24"/>
        </w:rPr>
        <w:t xml:space="preserve">Familia 4412- suministros de oficina con 182 contratos por un valor de $6.655.088.843 y un 0,68% de participación. </w:t>
      </w:r>
    </w:p>
    <w:p w14:paraId="7056571B" w14:textId="77777777" w:rsidR="008361F3" w:rsidRPr="008361F3" w:rsidRDefault="008361F3" w:rsidP="008361F3">
      <w:pPr>
        <w:pStyle w:val="Textoindependiente"/>
        <w:widowControl w:val="0"/>
        <w:numPr>
          <w:ilvl w:val="0"/>
          <w:numId w:val="18"/>
        </w:numPr>
        <w:tabs>
          <w:tab w:val="left" w:pos="8080"/>
        </w:tabs>
        <w:autoSpaceDE w:val="0"/>
        <w:autoSpaceDN w:val="0"/>
        <w:spacing w:before="1" w:after="0" w:line="267" w:lineRule="exact"/>
        <w:jc w:val="both"/>
        <w:rPr>
          <w:rFonts w:ascii="Garamond" w:hAnsi="Garamond"/>
          <w:bCs/>
          <w:sz w:val="24"/>
          <w:szCs w:val="24"/>
        </w:rPr>
      </w:pPr>
      <w:r w:rsidRPr="008361F3">
        <w:rPr>
          <w:rFonts w:ascii="Garamond" w:hAnsi="Garamond"/>
          <w:bCs/>
          <w:sz w:val="24"/>
          <w:szCs w:val="24"/>
        </w:rPr>
        <w:t>Familia 1410-Materiales de papel con 36 contratos por un valor de $2.326.547.310 y un 0,24% de participación.</w:t>
      </w:r>
    </w:p>
    <w:p w14:paraId="3B5896AD" w14:textId="77777777" w:rsidR="008361F3" w:rsidRPr="008361F3" w:rsidRDefault="008361F3" w:rsidP="008361F3">
      <w:pPr>
        <w:pStyle w:val="Textoindependiente"/>
        <w:tabs>
          <w:tab w:val="left" w:pos="8080"/>
        </w:tabs>
        <w:ind w:right="229"/>
        <w:jc w:val="both"/>
        <w:rPr>
          <w:rFonts w:ascii="Garamond" w:hAnsi="Garamond"/>
          <w:bCs/>
          <w:sz w:val="24"/>
          <w:szCs w:val="24"/>
        </w:rPr>
      </w:pPr>
      <w:r w:rsidRPr="008361F3">
        <w:rPr>
          <w:rFonts w:ascii="Garamond" w:hAnsi="Garamond"/>
          <w:bCs/>
          <w:noProof/>
          <w:sz w:val="24"/>
          <w:szCs w:val="24"/>
          <w14:ligatures w14:val="standardContextual"/>
        </w:rPr>
        <w:lastRenderedPageBreak/>
        <w:drawing>
          <wp:inline distT="0" distB="0" distL="0" distR="0" wp14:anchorId="7AFB8B75" wp14:editId="6ECEAF68">
            <wp:extent cx="5612130" cy="1633220"/>
            <wp:effectExtent l="0" t="0" r="7620" b="5080"/>
            <wp:docPr id="1395854077" name="Imagen 4"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854077" name="Imagen 4" descr="Tabla&#10;&#10;El contenido generado por IA puede ser incorrecto."/>
                    <pic:cNvPicPr/>
                  </pic:nvPicPr>
                  <pic:blipFill>
                    <a:blip r:embed="rId32">
                      <a:extLst>
                        <a:ext uri="{28A0092B-C50C-407E-A947-70E740481C1C}">
                          <a14:useLocalDpi xmlns:a14="http://schemas.microsoft.com/office/drawing/2010/main" val="0"/>
                        </a:ext>
                      </a:extLst>
                    </a:blip>
                    <a:stretch>
                      <a:fillRect/>
                    </a:stretch>
                  </pic:blipFill>
                  <pic:spPr>
                    <a:xfrm>
                      <a:off x="0" y="0"/>
                      <a:ext cx="5612130" cy="1633220"/>
                    </a:xfrm>
                    <a:prstGeom prst="rect">
                      <a:avLst/>
                    </a:prstGeom>
                  </pic:spPr>
                </pic:pic>
              </a:graphicData>
            </a:graphic>
          </wp:inline>
        </w:drawing>
      </w:r>
    </w:p>
    <w:p w14:paraId="50994C07" w14:textId="77777777" w:rsidR="008361F3" w:rsidRPr="008361F3" w:rsidRDefault="008361F3" w:rsidP="008361F3">
      <w:pPr>
        <w:widowControl w:val="0"/>
        <w:tabs>
          <w:tab w:val="left" w:pos="841"/>
          <w:tab w:val="left" w:pos="842"/>
          <w:tab w:val="left" w:pos="8080"/>
        </w:tabs>
        <w:autoSpaceDE w:val="0"/>
        <w:autoSpaceDN w:val="0"/>
        <w:ind w:right="231"/>
        <w:jc w:val="both"/>
        <w:rPr>
          <w:rFonts w:ascii="Garamond" w:hAnsi="Garamond"/>
          <w:bCs/>
          <w:sz w:val="24"/>
          <w:szCs w:val="24"/>
        </w:rPr>
      </w:pPr>
      <w:r w:rsidRPr="008361F3">
        <w:rPr>
          <w:rFonts w:ascii="Garamond" w:hAnsi="Garamond" w:cs="Arial"/>
          <w:bCs/>
          <w:sz w:val="24"/>
          <w:szCs w:val="24"/>
        </w:rPr>
        <w:t xml:space="preserve">Los 8.620 contratos fueron suscritos con los proveedores relacionados en la siguiente gráfica, evidenciándose que el mayor porcentaje lo obtiene Comercializadora Milton Ochoa SAS con (20 contratos), Club del comercio de Bucaramanga SA con (15 contratos), Universidad Nacional de Colombia con (14 contratos), Héctor Alonso Grajales Pavas con (10 contratos), </w:t>
      </w:r>
      <w:r w:rsidRPr="008361F3">
        <w:rPr>
          <w:rFonts w:ascii="Garamond" w:hAnsi="Garamond"/>
          <w:bCs/>
          <w:sz w:val="24"/>
          <w:szCs w:val="24"/>
        </w:rPr>
        <w:t>Entre otros.</w:t>
      </w:r>
    </w:p>
    <w:p w14:paraId="240698F0" w14:textId="77777777" w:rsidR="008361F3" w:rsidRPr="008361F3" w:rsidRDefault="008361F3" w:rsidP="008361F3">
      <w:pPr>
        <w:widowControl w:val="0"/>
        <w:tabs>
          <w:tab w:val="left" w:pos="841"/>
          <w:tab w:val="left" w:pos="842"/>
          <w:tab w:val="left" w:pos="8080"/>
        </w:tabs>
        <w:autoSpaceDE w:val="0"/>
        <w:autoSpaceDN w:val="0"/>
        <w:ind w:right="231"/>
        <w:jc w:val="both"/>
        <w:rPr>
          <w:rFonts w:ascii="Garamond" w:hAnsi="Garamond" w:cs="Arial"/>
          <w:bCs/>
          <w:sz w:val="24"/>
          <w:szCs w:val="24"/>
        </w:rPr>
      </w:pPr>
    </w:p>
    <w:p w14:paraId="2C25F459" w14:textId="77777777" w:rsidR="008361F3" w:rsidRPr="008361F3" w:rsidRDefault="008361F3" w:rsidP="008361F3">
      <w:pPr>
        <w:pStyle w:val="Textoindependiente"/>
        <w:tabs>
          <w:tab w:val="left" w:pos="8080"/>
        </w:tabs>
        <w:ind w:right="229"/>
        <w:jc w:val="both"/>
        <w:rPr>
          <w:rFonts w:ascii="Garamond" w:hAnsi="Garamond"/>
          <w:bCs/>
          <w:sz w:val="24"/>
          <w:szCs w:val="24"/>
        </w:rPr>
      </w:pPr>
      <w:r w:rsidRPr="008361F3">
        <w:rPr>
          <w:rFonts w:ascii="Garamond" w:hAnsi="Garamond"/>
          <w:noProof/>
          <w:sz w:val="24"/>
          <w:szCs w:val="24"/>
        </w:rPr>
        <w:drawing>
          <wp:inline distT="0" distB="0" distL="0" distR="0" wp14:anchorId="73E3F6C3" wp14:editId="0B7E7D7F">
            <wp:extent cx="5612130" cy="2032635"/>
            <wp:effectExtent l="0" t="0" r="7620" b="5715"/>
            <wp:docPr id="199194159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2130" cy="2032635"/>
                    </a:xfrm>
                    <a:prstGeom prst="rect">
                      <a:avLst/>
                    </a:prstGeom>
                    <a:noFill/>
                    <a:ln>
                      <a:noFill/>
                    </a:ln>
                  </pic:spPr>
                </pic:pic>
              </a:graphicData>
            </a:graphic>
          </wp:inline>
        </w:drawing>
      </w:r>
    </w:p>
    <w:p w14:paraId="471BC6E9" w14:textId="77777777" w:rsidR="008361F3" w:rsidRPr="008361F3" w:rsidRDefault="008361F3" w:rsidP="008361F3">
      <w:pPr>
        <w:pStyle w:val="Textoindependiente"/>
        <w:tabs>
          <w:tab w:val="left" w:pos="8080"/>
        </w:tabs>
        <w:spacing w:before="56"/>
        <w:ind w:right="227"/>
        <w:jc w:val="both"/>
        <w:rPr>
          <w:rFonts w:ascii="Garamond" w:hAnsi="Garamond"/>
          <w:bCs/>
          <w:sz w:val="24"/>
          <w:szCs w:val="24"/>
        </w:rPr>
      </w:pPr>
      <w:r w:rsidRPr="008361F3">
        <w:rPr>
          <w:rFonts w:ascii="Garamond" w:hAnsi="Garamond"/>
          <w:bCs/>
          <w:sz w:val="24"/>
          <w:szCs w:val="24"/>
        </w:rPr>
        <w:t xml:space="preserve">De acuerdo con el valor total estimado por Origen de proveedor, se evidencia que en Antioquia con un 21,95% </w:t>
      </w:r>
      <w:r w:rsidRPr="008361F3">
        <w:rPr>
          <w:rFonts w:ascii="Garamond" w:hAnsi="Garamond" w:cs="Arial"/>
          <w:bCs/>
          <w:sz w:val="24"/>
          <w:szCs w:val="24"/>
        </w:rPr>
        <w:t xml:space="preserve">de participación que equivale a $210.829.385.194, seguido de Distrito Capital con un 21,26% de participación por un valor de $222.416.598.577, seguido de Cundinamarca con un 16,55% de participación por un valor de $44.452.622.396, seguido de Magdalena con un 5,51% de participación que corresponde a $16.829.321.761. Entre otras. </w:t>
      </w:r>
    </w:p>
    <w:p w14:paraId="0FAAA48D" w14:textId="77777777" w:rsidR="008361F3" w:rsidRPr="008361F3" w:rsidRDefault="008361F3" w:rsidP="008361F3">
      <w:pPr>
        <w:pStyle w:val="Textoindependiente"/>
        <w:tabs>
          <w:tab w:val="left" w:pos="8080"/>
        </w:tabs>
        <w:spacing w:before="56"/>
        <w:ind w:right="227"/>
        <w:jc w:val="both"/>
        <w:rPr>
          <w:rFonts w:ascii="Garamond" w:hAnsi="Garamond"/>
          <w:bCs/>
          <w:sz w:val="24"/>
          <w:szCs w:val="24"/>
        </w:rPr>
      </w:pPr>
      <w:r w:rsidRPr="008361F3">
        <w:rPr>
          <w:rFonts w:ascii="Garamond" w:hAnsi="Garamond"/>
          <w:noProof/>
          <w:sz w:val="24"/>
          <w:szCs w:val="24"/>
        </w:rPr>
        <w:drawing>
          <wp:inline distT="0" distB="0" distL="0" distR="0" wp14:anchorId="0EA11EEC" wp14:editId="0A2C1821">
            <wp:extent cx="5612130" cy="1758315"/>
            <wp:effectExtent l="0" t="0" r="7620" b="0"/>
            <wp:docPr id="1763975860" name="Imagen 6" descr="Interfaz de usuario gráfica,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75860" name="Imagen 6" descr="Interfaz de usuario gráfica, Gráfico&#10;&#10;El contenido generado por IA puede ser incorrecto."/>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2130" cy="1758315"/>
                    </a:xfrm>
                    <a:prstGeom prst="rect">
                      <a:avLst/>
                    </a:prstGeom>
                    <a:noFill/>
                    <a:ln>
                      <a:noFill/>
                    </a:ln>
                  </pic:spPr>
                </pic:pic>
              </a:graphicData>
            </a:graphic>
          </wp:inline>
        </w:drawing>
      </w:r>
    </w:p>
    <w:p w14:paraId="207768C7" w14:textId="77777777" w:rsidR="008361F3" w:rsidRPr="008361F3" w:rsidRDefault="008361F3" w:rsidP="008361F3">
      <w:pPr>
        <w:pStyle w:val="Textoindependiente"/>
        <w:tabs>
          <w:tab w:val="left" w:pos="8080"/>
        </w:tabs>
        <w:ind w:right="227"/>
        <w:jc w:val="both"/>
        <w:rPr>
          <w:rFonts w:ascii="Garamond" w:hAnsi="Garamond"/>
          <w:bCs/>
          <w:sz w:val="24"/>
          <w:szCs w:val="24"/>
        </w:rPr>
      </w:pPr>
      <w:r w:rsidRPr="008361F3">
        <w:rPr>
          <w:rFonts w:ascii="Garamond" w:hAnsi="Garamond"/>
          <w:bCs/>
          <w:sz w:val="24"/>
          <w:szCs w:val="24"/>
        </w:rPr>
        <w:lastRenderedPageBreak/>
        <w:t>En su mayoría los proveedores son de origen nacional con 7.219 contratos y de origen extranjeros 4 contratos. De acuerdo con la modalidad de la selección del proceso, estos fueron convocados a través de:</w:t>
      </w:r>
    </w:p>
    <w:p w14:paraId="1FFB4C92" w14:textId="77777777" w:rsidR="008361F3" w:rsidRPr="008361F3" w:rsidRDefault="008361F3" w:rsidP="008361F3">
      <w:pPr>
        <w:pStyle w:val="Textoindependiente"/>
        <w:tabs>
          <w:tab w:val="left" w:pos="8080"/>
        </w:tabs>
        <w:spacing w:before="11"/>
        <w:jc w:val="both"/>
        <w:rPr>
          <w:rFonts w:ascii="Garamond" w:hAnsi="Garamond"/>
          <w:bCs/>
          <w:sz w:val="24"/>
          <w:szCs w:val="24"/>
        </w:rPr>
      </w:pPr>
      <w:r w:rsidRPr="008361F3">
        <w:rPr>
          <w:rFonts w:ascii="Garamond" w:hAnsi="Garamond"/>
          <w:noProof/>
          <w:sz w:val="24"/>
          <w:szCs w:val="24"/>
        </w:rPr>
        <w:drawing>
          <wp:inline distT="0" distB="0" distL="0" distR="0" wp14:anchorId="6F9DC573" wp14:editId="58A65A77">
            <wp:extent cx="5612130" cy="1485265"/>
            <wp:effectExtent l="0" t="0" r="7620" b="635"/>
            <wp:docPr id="2010576907" name="Imagen 7"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76907" name="Imagen 7" descr="Gráfico, Gráfico de barras&#10;&#10;El contenido generado por IA puede ser incorrect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12130" cy="1485265"/>
                    </a:xfrm>
                    <a:prstGeom prst="rect">
                      <a:avLst/>
                    </a:prstGeom>
                    <a:noFill/>
                    <a:ln>
                      <a:noFill/>
                    </a:ln>
                  </pic:spPr>
                </pic:pic>
              </a:graphicData>
            </a:graphic>
          </wp:inline>
        </w:drawing>
      </w:r>
    </w:p>
    <w:p w14:paraId="06B55250" w14:textId="590BBFA9" w:rsidR="008361F3" w:rsidRPr="008361F3" w:rsidRDefault="008361F3" w:rsidP="008361F3">
      <w:pPr>
        <w:pStyle w:val="Textoindependiente"/>
        <w:tabs>
          <w:tab w:val="left" w:pos="8080"/>
        </w:tabs>
        <w:ind w:right="227"/>
        <w:jc w:val="both"/>
        <w:rPr>
          <w:rFonts w:ascii="Garamond" w:hAnsi="Garamond"/>
          <w:bCs/>
          <w:sz w:val="24"/>
          <w:szCs w:val="24"/>
        </w:rPr>
      </w:pPr>
      <w:r w:rsidRPr="008361F3">
        <w:rPr>
          <w:rFonts w:ascii="Garamond" w:hAnsi="Garamond"/>
          <w:bCs/>
          <w:sz w:val="24"/>
          <w:szCs w:val="24"/>
        </w:rPr>
        <w:t xml:space="preserve">La modalidad de selección predominante es de Contratación directa por un valor de $520.412.721.713, seguido de Licitación </w:t>
      </w:r>
      <w:r w:rsidR="00A06C84" w:rsidRPr="008361F3">
        <w:rPr>
          <w:rFonts w:ascii="Garamond" w:hAnsi="Garamond"/>
          <w:bCs/>
          <w:sz w:val="24"/>
          <w:szCs w:val="24"/>
        </w:rPr>
        <w:t>pública</w:t>
      </w:r>
      <w:r w:rsidRPr="008361F3">
        <w:rPr>
          <w:rFonts w:ascii="Garamond" w:hAnsi="Garamond"/>
          <w:bCs/>
          <w:sz w:val="24"/>
          <w:szCs w:val="24"/>
        </w:rPr>
        <w:t xml:space="preserve"> por un valor $242.595.416.368, Régimen especial por un valor $157.600.825.287, seguido de Mínima cuantía por un valor de $32.312.733.138, seguido de Selección abreviada subasta inversa por un valor de $16.447.680.001. Y por último selección abreviada de menor cuantía por un valor de $8.220.599.411.</w:t>
      </w:r>
    </w:p>
    <w:p w14:paraId="75236F4C" w14:textId="77777777" w:rsidR="008361F3" w:rsidRPr="008361F3" w:rsidRDefault="008361F3" w:rsidP="008361F3">
      <w:pPr>
        <w:pStyle w:val="Textoindependiente"/>
        <w:tabs>
          <w:tab w:val="left" w:pos="8080"/>
        </w:tabs>
        <w:ind w:right="227"/>
        <w:jc w:val="both"/>
        <w:rPr>
          <w:rFonts w:ascii="Garamond" w:hAnsi="Garamond"/>
          <w:bCs/>
          <w:sz w:val="24"/>
          <w:szCs w:val="24"/>
        </w:rPr>
      </w:pPr>
    </w:p>
    <w:p w14:paraId="6B71A534" w14:textId="6B844C6A" w:rsidR="008361F3" w:rsidRPr="008361F3" w:rsidRDefault="008361F3" w:rsidP="008361F3">
      <w:pPr>
        <w:pStyle w:val="Textoindependiente"/>
        <w:tabs>
          <w:tab w:val="left" w:pos="8080"/>
        </w:tabs>
        <w:spacing w:before="11"/>
        <w:rPr>
          <w:rFonts w:ascii="Garamond" w:hAnsi="Garamond"/>
          <w:b/>
          <w:bCs/>
          <w:sz w:val="24"/>
          <w:szCs w:val="24"/>
          <w:u w:val="single"/>
        </w:rPr>
      </w:pPr>
      <w:r w:rsidRPr="008361F3">
        <w:rPr>
          <w:rFonts w:ascii="Garamond" w:hAnsi="Garamond"/>
          <w:b/>
          <w:bCs/>
          <w:sz w:val="24"/>
          <w:szCs w:val="24"/>
        </w:rPr>
        <w:t>3.1.2 ANÁLISIS DE LA OFERTA</w:t>
      </w:r>
    </w:p>
    <w:p w14:paraId="01DB99A1" w14:textId="77777777" w:rsidR="008361F3" w:rsidRPr="008361F3" w:rsidRDefault="008361F3" w:rsidP="008361F3">
      <w:pPr>
        <w:pStyle w:val="Textoindependiente"/>
        <w:tabs>
          <w:tab w:val="left" w:pos="8080"/>
        </w:tabs>
        <w:spacing w:before="11"/>
        <w:rPr>
          <w:rFonts w:ascii="Garamond" w:hAnsi="Garamond"/>
          <w:bCs/>
          <w:sz w:val="24"/>
          <w:szCs w:val="24"/>
        </w:rPr>
      </w:pPr>
    </w:p>
    <w:p w14:paraId="60A171F4" w14:textId="77777777" w:rsidR="008361F3" w:rsidRPr="008361F3" w:rsidRDefault="008361F3" w:rsidP="008361F3">
      <w:pPr>
        <w:tabs>
          <w:tab w:val="left" w:pos="8080"/>
        </w:tabs>
        <w:jc w:val="both"/>
        <w:rPr>
          <w:rFonts w:ascii="Garamond" w:hAnsi="Garamond" w:cs="Arial"/>
          <w:bCs/>
          <w:sz w:val="24"/>
          <w:szCs w:val="24"/>
        </w:rPr>
      </w:pPr>
      <w:r w:rsidRPr="008361F3">
        <w:rPr>
          <w:rFonts w:ascii="Garamond" w:hAnsi="Garamond"/>
          <w:bCs/>
          <w:sz w:val="24"/>
          <w:szCs w:val="24"/>
        </w:rPr>
        <w:t xml:space="preserve">En cuanto al Análisis de la Oferta </w:t>
      </w:r>
      <w:r w:rsidRPr="008361F3">
        <w:rPr>
          <w:rFonts w:ascii="Garamond" w:hAnsi="Garamond" w:cs="Arial"/>
          <w:bCs/>
          <w:sz w:val="24"/>
          <w:szCs w:val="24"/>
        </w:rPr>
        <w:t>realizado entre la vigencia 2026 y lo corrido del año 2026 (1 enero de 2026 al 12 de mayo de 2026) en el portal del SECOP II</w:t>
      </w:r>
      <w:r w:rsidRPr="008361F3">
        <w:rPr>
          <w:rFonts w:ascii="Garamond" w:hAnsi="Garamond"/>
          <w:bCs/>
          <w:sz w:val="24"/>
          <w:szCs w:val="24"/>
        </w:rPr>
        <w:t xml:space="preserve">, se adelanta con </w:t>
      </w:r>
      <w:r w:rsidRPr="008361F3">
        <w:rPr>
          <w:rFonts w:ascii="Garamond" w:hAnsi="Garamond" w:cs="Arial"/>
          <w:bCs/>
          <w:sz w:val="24"/>
          <w:szCs w:val="24"/>
        </w:rPr>
        <w:t>las siguientes familias: Familia 8610- Formación profesional, 9010-restaurantes y catering, 8614- Instalaciones educativas, 8611- sistemas educativos alternativos, 4411- accesorios de oficina y escritorio, 4412- suministros de oficina, 1410- Materiales de papel</w:t>
      </w:r>
    </w:p>
    <w:p w14:paraId="2C9D8DE3" w14:textId="77777777" w:rsidR="008361F3" w:rsidRPr="008361F3" w:rsidRDefault="008361F3" w:rsidP="008361F3">
      <w:pPr>
        <w:tabs>
          <w:tab w:val="left" w:pos="8080"/>
        </w:tabs>
        <w:jc w:val="both"/>
        <w:rPr>
          <w:rFonts w:ascii="Garamond" w:hAnsi="Garamond" w:cs="Arial"/>
          <w:bCs/>
          <w:sz w:val="24"/>
          <w:szCs w:val="24"/>
        </w:rPr>
      </w:pPr>
    </w:p>
    <w:p w14:paraId="33590BB1" w14:textId="77777777" w:rsidR="008361F3" w:rsidRPr="008361F3" w:rsidRDefault="008361F3" w:rsidP="008361F3">
      <w:pPr>
        <w:tabs>
          <w:tab w:val="left" w:pos="8080"/>
        </w:tabs>
        <w:jc w:val="both"/>
        <w:rPr>
          <w:rFonts w:ascii="Garamond" w:hAnsi="Garamond" w:cs="Arial"/>
          <w:bCs/>
          <w:sz w:val="24"/>
          <w:szCs w:val="24"/>
        </w:rPr>
      </w:pPr>
      <w:r w:rsidRPr="008361F3">
        <w:rPr>
          <w:rFonts w:ascii="Garamond" w:hAnsi="Garamond" w:cs="Arial"/>
          <w:bCs/>
          <w:noProof/>
          <w:sz w:val="24"/>
          <w:szCs w:val="24"/>
          <w14:ligatures w14:val="standardContextual"/>
        </w:rPr>
        <w:lastRenderedPageBreak/>
        <w:drawing>
          <wp:inline distT="0" distB="0" distL="0" distR="0" wp14:anchorId="09FE6DD5" wp14:editId="00E97514">
            <wp:extent cx="5612130" cy="4750435"/>
            <wp:effectExtent l="0" t="0" r="7620" b="0"/>
            <wp:docPr id="1615594574" name="Imagen 8" descr="Interfaz de usuario gráfica, Gráfic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594574" name="Imagen 8" descr="Interfaz de usuario gráfica, Gráfico, Aplicación&#10;&#10;El contenido generado por IA puede ser incorrecto."/>
                    <pic:cNvPicPr/>
                  </pic:nvPicPr>
                  <pic:blipFill>
                    <a:blip r:embed="rId36">
                      <a:extLst>
                        <a:ext uri="{28A0092B-C50C-407E-A947-70E740481C1C}">
                          <a14:useLocalDpi xmlns:a14="http://schemas.microsoft.com/office/drawing/2010/main" val="0"/>
                        </a:ext>
                      </a:extLst>
                    </a:blip>
                    <a:stretch>
                      <a:fillRect/>
                    </a:stretch>
                  </pic:blipFill>
                  <pic:spPr>
                    <a:xfrm>
                      <a:off x="0" y="0"/>
                      <a:ext cx="5612130" cy="4750435"/>
                    </a:xfrm>
                    <a:prstGeom prst="rect">
                      <a:avLst/>
                    </a:prstGeom>
                  </pic:spPr>
                </pic:pic>
              </a:graphicData>
            </a:graphic>
          </wp:inline>
        </w:drawing>
      </w:r>
    </w:p>
    <w:p w14:paraId="7A22510D" w14:textId="77777777" w:rsidR="008361F3" w:rsidRPr="008361F3" w:rsidRDefault="008361F3" w:rsidP="008361F3">
      <w:pPr>
        <w:tabs>
          <w:tab w:val="left" w:pos="8080"/>
        </w:tabs>
        <w:jc w:val="both"/>
        <w:rPr>
          <w:rFonts w:ascii="Garamond" w:hAnsi="Garamond"/>
          <w:bCs/>
          <w:sz w:val="24"/>
          <w:szCs w:val="24"/>
        </w:rPr>
      </w:pPr>
    </w:p>
    <w:p w14:paraId="118C5211" w14:textId="77777777" w:rsidR="008361F3" w:rsidRPr="008361F3" w:rsidRDefault="008361F3" w:rsidP="008361F3">
      <w:pPr>
        <w:pStyle w:val="Textoindependiente"/>
        <w:tabs>
          <w:tab w:val="left" w:pos="8080"/>
        </w:tabs>
        <w:ind w:right="227"/>
        <w:jc w:val="both"/>
        <w:rPr>
          <w:rFonts w:ascii="Garamond" w:hAnsi="Garamond"/>
          <w:bCs/>
          <w:sz w:val="24"/>
          <w:szCs w:val="24"/>
        </w:rPr>
      </w:pPr>
      <w:r w:rsidRPr="008361F3">
        <w:rPr>
          <w:rFonts w:ascii="Garamond" w:hAnsi="Garamond"/>
          <w:bCs/>
          <w:sz w:val="24"/>
          <w:szCs w:val="24"/>
        </w:rPr>
        <w:t>Los contratos suscritos en su mayoría son proveedores No plurales con 7.269 contratos siendo el 99,84% de la participación mientras que los Plurales son 12 contratos y un 0,16% de participación. La modalidad de selección predominante es de Contratación directa por un valor de $520.412.721.713, seguido de Licitación pública por un valor $242.595.416.368, Régimen especial por un valor $157.600.825.287, seguido de Mínima cuantía por un valor de $32.312.733.138, seguido de Selección abreviada subasta inversa por un valor de $16.447.680.001 y por ultimo selección abreviada de menor cuantía por un valor de $8.220.599.411.</w:t>
      </w:r>
    </w:p>
    <w:p w14:paraId="4F3510D8" w14:textId="77777777" w:rsidR="008361F3" w:rsidRPr="008361F3" w:rsidRDefault="008361F3" w:rsidP="008361F3">
      <w:pPr>
        <w:pStyle w:val="Textoindependiente"/>
        <w:tabs>
          <w:tab w:val="left" w:pos="8080"/>
        </w:tabs>
        <w:ind w:right="227"/>
        <w:jc w:val="both"/>
        <w:rPr>
          <w:rFonts w:ascii="Garamond" w:hAnsi="Garamond"/>
          <w:bCs/>
          <w:sz w:val="24"/>
          <w:szCs w:val="24"/>
        </w:rPr>
      </w:pPr>
      <w:r w:rsidRPr="008361F3">
        <w:rPr>
          <w:rFonts w:ascii="Garamond" w:hAnsi="Garamond"/>
          <w:bCs/>
          <w:noProof/>
          <w:sz w:val="24"/>
          <w:szCs w:val="24"/>
          <w14:ligatures w14:val="standardContextual"/>
        </w:rPr>
        <w:lastRenderedPageBreak/>
        <w:drawing>
          <wp:inline distT="0" distB="0" distL="0" distR="0" wp14:anchorId="1EB71FD7" wp14:editId="173D3EAF">
            <wp:extent cx="5612130" cy="1565275"/>
            <wp:effectExtent l="0" t="0" r="7620" b="0"/>
            <wp:docPr id="449132638" name="Imagen 9"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132638" name="Imagen 9" descr="Interfaz de usuario gráfica, Aplicación&#10;&#10;El contenido generado por IA puede ser incorrecto."/>
                    <pic:cNvPicPr/>
                  </pic:nvPicPr>
                  <pic:blipFill>
                    <a:blip r:embed="rId37">
                      <a:extLst>
                        <a:ext uri="{28A0092B-C50C-407E-A947-70E740481C1C}">
                          <a14:useLocalDpi xmlns:a14="http://schemas.microsoft.com/office/drawing/2010/main" val="0"/>
                        </a:ext>
                      </a:extLst>
                    </a:blip>
                    <a:stretch>
                      <a:fillRect/>
                    </a:stretch>
                  </pic:blipFill>
                  <pic:spPr>
                    <a:xfrm>
                      <a:off x="0" y="0"/>
                      <a:ext cx="5612130" cy="1565275"/>
                    </a:xfrm>
                    <a:prstGeom prst="rect">
                      <a:avLst/>
                    </a:prstGeom>
                  </pic:spPr>
                </pic:pic>
              </a:graphicData>
            </a:graphic>
          </wp:inline>
        </w:drawing>
      </w:r>
    </w:p>
    <w:p w14:paraId="41D410ED" w14:textId="77777777" w:rsidR="008361F3" w:rsidRPr="008361F3" w:rsidRDefault="008361F3" w:rsidP="008361F3">
      <w:pPr>
        <w:pStyle w:val="Textoindependiente"/>
        <w:tabs>
          <w:tab w:val="left" w:pos="8080"/>
        </w:tabs>
        <w:ind w:right="227"/>
        <w:jc w:val="both"/>
        <w:rPr>
          <w:rFonts w:ascii="Garamond" w:hAnsi="Garamond"/>
          <w:bCs/>
          <w:sz w:val="24"/>
          <w:szCs w:val="24"/>
        </w:rPr>
      </w:pPr>
    </w:p>
    <w:p w14:paraId="7F9A217F" w14:textId="77777777" w:rsidR="008361F3" w:rsidRPr="008361F3" w:rsidRDefault="008361F3" w:rsidP="008361F3">
      <w:pPr>
        <w:pStyle w:val="Textoindependiente"/>
        <w:tabs>
          <w:tab w:val="left" w:pos="8080"/>
        </w:tabs>
        <w:spacing w:before="11"/>
        <w:jc w:val="both"/>
        <w:rPr>
          <w:rFonts w:ascii="Garamond" w:hAnsi="Garamond"/>
          <w:bCs/>
          <w:sz w:val="24"/>
          <w:szCs w:val="24"/>
        </w:rPr>
      </w:pPr>
      <w:r w:rsidRPr="008361F3">
        <w:rPr>
          <w:rFonts w:ascii="Garamond" w:hAnsi="Garamond"/>
          <w:bCs/>
          <w:sz w:val="24"/>
          <w:szCs w:val="24"/>
        </w:rPr>
        <w:t xml:space="preserve">La modalidad de contratación que mayor transacción registró fue la de Contratación Directa, seguido de Licitación Pública, seguido de régimen especial, seguido de Mínima Cuantía, después selección abreviada subasta inversa y por ultimo selección abreviada de menor cuantía. </w:t>
      </w:r>
    </w:p>
    <w:p w14:paraId="5703F754" w14:textId="77777777" w:rsidR="008361F3" w:rsidRDefault="008361F3" w:rsidP="008361F3">
      <w:pPr>
        <w:pStyle w:val="Textoindependiente"/>
        <w:tabs>
          <w:tab w:val="left" w:pos="8080"/>
        </w:tabs>
        <w:spacing w:before="11"/>
        <w:jc w:val="both"/>
        <w:rPr>
          <w:rFonts w:ascii="Arial Narrow" w:hAnsi="Arial Narrow"/>
          <w:bCs/>
          <w:sz w:val="22"/>
          <w:szCs w:val="22"/>
        </w:rPr>
      </w:pPr>
      <w:r>
        <w:rPr>
          <w:rFonts w:ascii="Arial Narrow" w:hAnsi="Arial Narrow"/>
          <w:bCs/>
          <w:noProof/>
          <w:sz w:val="22"/>
          <w:szCs w:val="22"/>
          <w14:ligatures w14:val="standardContextual"/>
        </w:rPr>
        <w:drawing>
          <wp:inline distT="0" distB="0" distL="0" distR="0" wp14:anchorId="1A481608" wp14:editId="239A7ED1">
            <wp:extent cx="5612130" cy="2748915"/>
            <wp:effectExtent l="0" t="0" r="7620" b="0"/>
            <wp:docPr id="419174533" name="Imagen 10"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74533" name="Imagen 10" descr="Gráfico, Gráfico de líneas&#10;&#10;El contenido generado por IA puede ser incorrecto."/>
                    <pic:cNvPicPr/>
                  </pic:nvPicPr>
                  <pic:blipFill>
                    <a:blip r:embed="rId38">
                      <a:extLst>
                        <a:ext uri="{28A0092B-C50C-407E-A947-70E740481C1C}">
                          <a14:useLocalDpi xmlns:a14="http://schemas.microsoft.com/office/drawing/2010/main" val="0"/>
                        </a:ext>
                      </a:extLst>
                    </a:blip>
                    <a:stretch>
                      <a:fillRect/>
                    </a:stretch>
                  </pic:blipFill>
                  <pic:spPr>
                    <a:xfrm>
                      <a:off x="0" y="0"/>
                      <a:ext cx="5612130" cy="2748915"/>
                    </a:xfrm>
                    <a:prstGeom prst="rect">
                      <a:avLst/>
                    </a:prstGeom>
                  </pic:spPr>
                </pic:pic>
              </a:graphicData>
            </a:graphic>
          </wp:inline>
        </w:drawing>
      </w:r>
    </w:p>
    <w:p w14:paraId="4E342476" w14:textId="77777777" w:rsidR="008361F3" w:rsidRPr="00374A12" w:rsidRDefault="008361F3" w:rsidP="008361F3">
      <w:pPr>
        <w:pStyle w:val="Textoindependiente"/>
        <w:tabs>
          <w:tab w:val="left" w:pos="8080"/>
        </w:tabs>
        <w:spacing w:before="11"/>
        <w:jc w:val="both"/>
        <w:rPr>
          <w:rFonts w:ascii="Arial Narrow" w:hAnsi="Arial Narrow"/>
          <w:bCs/>
          <w:sz w:val="22"/>
          <w:szCs w:val="22"/>
        </w:rPr>
      </w:pPr>
      <w:r>
        <w:rPr>
          <w:rFonts w:ascii="Arial Narrow" w:hAnsi="Arial Narrow"/>
          <w:bCs/>
          <w:noProof/>
          <w:sz w:val="22"/>
          <w:szCs w:val="22"/>
          <w14:ligatures w14:val="standardContextual"/>
        </w:rPr>
        <w:drawing>
          <wp:inline distT="0" distB="0" distL="0" distR="0" wp14:anchorId="46B2B7C9" wp14:editId="78FFE297">
            <wp:extent cx="5612130" cy="1626235"/>
            <wp:effectExtent l="0" t="0" r="7620" b="0"/>
            <wp:docPr id="1865473649" name="Imagen 1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473649" name="Imagen 11" descr="Tabla&#10;&#10;El contenido generado por IA puede ser incorrecto."/>
                    <pic:cNvPicPr/>
                  </pic:nvPicPr>
                  <pic:blipFill>
                    <a:blip r:embed="rId39">
                      <a:extLst>
                        <a:ext uri="{28A0092B-C50C-407E-A947-70E740481C1C}">
                          <a14:useLocalDpi xmlns:a14="http://schemas.microsoft.com/office/drawing/2010/main" val="0"/>
                        </a:ext>
                      </a:extLst>
                    </a:blip>
                    <a:stretch>
                      <a:fillRect/>
                    </a:stretch>
                  </pic:blipFill>
                  <pic:spPr>
                    <a:xfrm>
                      <a:off x="0" y="0"/>
                      <a:ext cx="5612130" cy="1626235"/>
                    </a:xfrm>
                    <a:prstGeom prst="rect">
                      <a:avLst/>
                    </a:prstGeom>
                  </pic:spPr>
                </pic:pic>
              </a:graphicData>
            </a:graphic>
          </wp:inline>
        </w:drawing>
      </w:r>
    </w:p>
    <w:p w14:paraId="41679FA1" w14:textId="77777777" w:rsidR="008361F3" w:rsidRPr="00C35D95" w:rsidRDefault="008361F3" w:rsidP="008361F3">
      <w:pPr>
        <w:pStyle w:val="Textoindependiente"/>
        <w:tabs>
          <w:tab w:val="left" w:pos="8080"/>
        </w:tabs>
        <w:ind w:right="232"/>
        <w:jc w:val="center"/>
        <w:rPr>
          <w:rFonts w:ascii="Arial Narrow" w:hAnsi="Arial Narrow"/>
          <w:bCs/>
          <w:sz w:val="22"/>
          <w:szCs w:val="22"/>
        </w:rPr>
      </w:pPr>
    </w:p>
    <w:p w14:paraId="17480BD4" w14:textId="5D9A9B03" w:rsidR="00211D56" w:rsidRPr="00706E4B" w:rsidRDefault="00AE2620" w:rsidP="00F96334">
      <w:pPr>
        <w:pStyle w:val="Textoindependiente"/>
        <w:spacing w:before="10"/>
        <w:jc w:val="both"/>
        <w:rPr>
          <w:rFonts w:ascii="Garamond" w:hAnsi="Garamond" w:cs="Arial"/>
          <w:b/>
          <w:sz w:val="24"/>
          <w:szCs w:val="24"/>
          <w:highlight w:val="yellow"/>
        </w:rPr>
      </w:pPr>
      <w:r w:rsidRPr="00706E4B">
        <w:rPr>
          <w:rFonts w:ascii="Garamond" w:eastAsia="Arial" w:hAnsi="Garamond" w:cs="Arial"/>
          <w:b/>
          <w:bCs/>
          <w:sz w:val="24"/>
          <w:szCs w:val="24"/>
          <w:highlight w:val="yellow"/>
        </w:rPr>
        <w:t>3.2.</w:t>
      </w:r>
      <w:r w:rsidRPr="00706E4B">
        <w:rPr>
          <w:rFonts w:ascii="Garamond" w:eastAsia="Arial" w:hAnsi="Garamond" w:cs="Arial"/>
          <w:sz w:val="24"/>
          <w:szCs w:val="24"/>
          <w:highlight w:val="yellow"/>
        </w:rPr>
        <w:t xml:space="preserve"> </w:t>
      </w:r>
      <w:r w:rsidRPr="00706E4B">
        <w:rPr>
          <w:rFonts w:ascii="Garamond" w:hAnsi="Garamond" w:cs="Arial"/>
          <w:b/>
          <w:sz w:val="24"/>
          <w:szCs w:val="24"/>
          <w:highlight w:val="yellow"/>
        </w:rPr>
        <w:t>ADQUISICIONES DE OTRAS ENTIDADES</w:t>
      </w:r>
    </w:p>
    <w:p w14:paraId="1111573F" w14:textId="77777777" w:rsidR="00E537AA" w:rsidRPr="00706E4B" w:rsidRDefault="00E537AA" w:rsidP="00E537AA">
      <w:pPr>
        <w:pStyle w:val="Prrafodelista"/>
        <w:tabs>
          <w:tab w:val="left" w:pos="567"/>
          <w:tab w:val="left" w:pos="8080"/>
        </w:tabs>
        <w:ind w:left="0" w:right="51"/>
        <w:jc w:val="both"/>
        <w:rPr>
          <w:rFonts w:ascii="Garamond" w:hAnsi="Garamond" w:cs="Arial"/>
          <w:sz w:val="24"/>
          <w:szCs w:val="24"/>
          <w:highlight w:val="yellow"/>
        </w:rPr>
      </w:pPr>
      <w:r w:rsidRPr="00706E4B">
        <w:rPr>
          <w:rFonts w:ascii="Garamond" w:hAnsi="Garamond" w:cs="Arial"/>
          <w:sz w:val="24"/>
          <w:szCs w:val="24"/>
          <w:highlight w:val="yellow"/>
        </w:rPr>
        <w:lastRenderedPageBreak/>
        <w:t>El estudio está realizado mediante la investigación de mercado que contempla los sectores que puedan ofrecer sus bienes o servicios.</w:t>
      </w:r>
    </w:p>
    <w:p w14:paraId="614CB94B" w14:textId="77777777" w:rsidR="00E537AA" w:rsidRPr="00706E4B" w:rsidRDefault="00E537AA" w:rsidP="00E537AA">
      <w:pPr>
        <w:pStyle w:val="Prrafodelista"/>
        <w:tabs>
          <w:tab w:val="left" w:pos="567"/>
          <w:tab w:val="left" w:pos="8080"/>
        </w:tabs>
        <w:ind w:left="0" w:right="51"/>
        <w:jc w:val="both"/>
        <w:rPr>
          <w:rFonts w:ascii="Garamond" w:hAnsi="Garamond" w:cs="Arial"/>
          <w:sz w:val="24"/>
          <w:szCs w:val="24"/>
          <w:highlight w:val="yellow"/>
        </w:rPr>
      </w:pPr>
    </w:p>
    <w:p w14:paraId="47AB48B6" w14:textId="734122EC" w:rsidR="00E537AA" w:rsidRPr="00706E4B" w:rsidRDefault="00E537AA" w:rsidP="00211D56">
      <w:pPr>
        <w:pStyle w:val="Prrafodelista"/>
        <w:tabs>
          <w:tab w:val="left" w:pos="567"/>
          <w:tab w:val="left" w:pos="8080"/>
        </w:tabs>
        <w:ind w:left="0" w:right="51"/>
        <w:jc w:val="both"/>
        <w:rPr>
          <w:rFonts w:ascii="Garamond" w:hAnsi="Garamond" w:cs="Arial"/>
          <w:sz w:val="24"/>
          <w:szCs w:val="24"/>
          <w:highlight w:val="yellow"/>
        </w:rPr>
      </w:pPr>
      <w:r w:rsidRPr="00706E4B">
        <w:rPr>
          <w:rFonts w:ascii="Garamond" w:hAnsi="Garamond" w:cs="Arial"/>
          <w:sz w:val="24"/>
          <w:szCs w:val="24"/>
          <w:highlight w:val="yellow"/>
        </w:rPr>
        <w:t xml:space="preserve">A continuación, se muestra las adquisiciones que han adquirido otras Entidades Estatales servicios con características similares, tipo de contratos realizados, adquisiciones con un objeto igual o similar al de la presente contratación.  </w:t>
      </w:r>
    </w:p>
    <w:p w14:paraId="135D55EA" w14:textId="77777777" w:rsidR="00B66F23" w:rsidRPr="00706E4B" w:rsidRDefault="00B66F23" w:rsidP="00211D56">
      <w:pPr>
        <w:pStyle w:val="Prrafodelista"/>
        <w:tabs>
          <w:tab w:val="left" w:pos="567"/>
          <w:tab w:val="left" w:pos="8080"/>
        </w:tabs>
        <w:ind w:left="0" w:right="51"/>
        <w:jc w:val="both"/>
        <w:rPr>
          <w:rFonts w:ascii="Garamond" w:hAnsi="Garamond" w:cs="Arial"/>
          <w:sz w:val="24"/>
          <w:szCs w:val="24"/>
          <w:highlight w:val="yellow"/>
        </w:rPr>
      </w:pPr>
    </w:p>
    <w:tbl>
      <w:tblPr>
        <w:tblStyle w:val="Tablaconcuadrculaclara"/>
        <w:tblW w:w="9072" w:type="dxa"/>
        <w:tblInd w:w="-5" w:type="dxa"/>
        <w:tblLayout w:type="fixed"/>
        <w:tblLook w:val="04A0" w:firstRow="1" w:lastRow="0" w:firstColumn="1" w:lastColumn="0" w:noHBand="0" w:noVBand="1"/>
      </w:tblPr>
      <w:tblGrid>
        <w:gridCol w:w="2127"/>
        <w:gridCol w:w="6945"/>
      </w:tblGrid>
      <w:tr w:rsidR="00835A12" w:rsidRPr="00706E4B" w14:paraId="2981EC5A" w14:textId="77777777" w:rsidTr="00993EBD">
        <w:trPr>
          <w:trHeight w:val="228"/>
        </w:trPr>
        <w:tc>
          <w:tcPr>
            <w:tcW w:w="2127" w:type="dxa"/>
            <w:shd w:val="clear" w:color="auto" w:fill="FFF2CC" w:themeFill="accent4" w:themeFillTint="33"/>
            <w:vAlign w:val="center"/>
            <w:hideMark/>
          </w:tcPr>
          <w:p w14:paraId="4869BE06"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NUMERO DE PROCESO</w:t>
            </w:r>
          </w:p>
        </w:tc>
        <w:tc>
          <w:tcPr>
            <w:tcW w:w="6945" w:type="dxa"/>
            <w:shd w:val="clear" w:color="auto" w:fill="FFF2CC" w:themeFill="accent4" w:themeFillTint="33"/>
            <w:vAlign w:val="center"/>
            <w:hideMark/>
          </w:tcPr>
          <w:p w14:paraId="1BABD11C" w14:textId="259A2B59" w:rsidR="00835A12" w:rsidRPr="00706E4B" w:rsidRDefault="008376F9" w:rsidP="00993EBD">
            <w:pPr>
              <w:spacing w:line="276" w:lineRule="auto"/>
              <w:rPr>
                <w:rFonts w:ascii="Garamond" w:hAnsi="Garamond"/>
                <w:b/>
                <w:bCs/>
                <w:color w:val="000000"/>
                <w:sz w:val="24"/>
                <w:szCs w:val="24"/>
                <w:highlight w:val="yellow"/>
                <w:lang w:eastAsia="es-CO"/>
              </w:rPr>
            </w:pPr>
            <w:r w:rsidRPr="00706E4B">
              <w:rPr>
                <w:rFonts w:ascii="Garamond" w:hAnsi="Garamond"/>
                <w:b/>
                <w:bCs/>
                <w:color w:val="000000"/>
                <w:sz w:val="24"/>
                <w:szCs w:val="24"/>
                <w:highlight w:val="yellow"/>
                <w:lang w:eastAsia="es-CO"/>
              </w:rPr>
              <w:t>PC-AMA-CD-CS-002-2025</w:t>
            </w:r>
          </w:p>
        </w:tc>
      </w:tr>
      <w:tr w:rsidR="00835A12" w:rsidRPr="00706E4B" w14:paraId="64597E64" w14:textId="77777777" w:rsidTr="00993EBD">
        <w:trPr>
          <w:trHeight w:val="1092"/>
        </w:trPr>
        <w:tc>
          <w:tcPr>
            <w:tcW w:w="2127" w:type="dxa"/>
            <w:vAlign w:val="center"/>
            <w:hideMark/>
          </w:tcPr>
          <w:p w14:paraId="7854EF9D"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 xml:space="preserve">LINK </w:t>
            </w:r>
          </w:p>
        </w:tc>
        <w:tc>
          <w:tcPr>
            <w:tcW w:w="6945" w:type="dxa"/>
            <w:vAlign w:val="center"/>
            <w:hideMark/>
          </w:tcPr>
          <w:p w14:paraId="6D795FB4" w14:textId="0314EC1A" w:rsidR="008376F9" w:rsidRPr="00706E4B" w:rsidRDefault="00EA2778" w:rsidP="00993EBD">
            <w:pPr>
              <w:spacing w:line="276" w:lineRule="auto"/>
              <w:rPr>
                <w:rFonts w:ascii="Garamond" w:hAnsi="Garamond"/>
                <w:sz w:val="24"/>
                <w:szCs w:val="24"/>
                <w:highlight w:val="yellow"/>
              </w:rPr>
            </w:pPr>
            <w:hyperlink r:id="rId40" w:history="1">
              <w:r w:rsidR="008376F9" w:rsidRPr="00706E4B">
                <w:rPr>
                  <w:rStyle w:val="Hipervnculo"/>
                  <w:rFonts w:ascii="Garamond" w:hAnsi="Garamond"/>
                  <w:sz w:val="24"/>
                  <w:szCs w:val="24"/>
                  <w:highlight w:val="yellow"/>
                </w:rPr>
                <w:t>https://www.secop.gov.co/CO1BusinessLine/Tendering/ContractNoticeView/Index?prevCtxLbl=Buscar+procesos&amp;prevCtxUrl=https%3a%2f%2fwww.secop.gov.co%3a443%2fCO1BusinessLine%2fTendering%2fContractNoticeManagement%2fIndex&amp;notice=CO1.NTC.8324434</w:t>
              </w:r>
            </w:hyperlink>
          </w:p>
        </w:tc>
      </w:tr>
      <w:tr w:rsidR="00835A12" w:rsidRPr="00706E4B" w14:paraId="43F95953" w14:textId="77777777" w:rsidTr="00993EBD">
        <w:trPr>
          <w:trHeight w:val="228"/>
        </w:trPr>
        <w:tc>
          <w:tcPr>
            <w:tcW w:w="2127" w:type="dxa"/>
            <w:vAlign w:val="center"/>
            <w:hideMark/>
          </w:tcPr>
          <w:p w14:paraId="5852A1DC"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 xml:space="preserve">ENTIDAD </w:t>
            </w:r>
          </w:p>
        </w:tc>
        <w:tc>
          <w:tcPr>
            <w:tcW w:w="6945" w:type="dxa"/>
            <w:vAlign w:val="center"/>
            <w:hideMark/>
          </w:tcPr>
          <w:p w14:paraId="75186576" w14:textId="1388DB51" w:rsidR="00835A12" w:rsidRPr="00706E4B" w:rsidRDefault="00885241" w:rsidP="00993EBD">
            <w:pPr>
              <w:spacing w:line="276" w:lineRule="auto"/>
              <w:rPr>
                <w:rFonts w:ascii="Garamond" w:hAnsi="Garamond"/>
                <w:color w:val="000000"/>
                <w:sz w:val="24"/>
                <w:szCs w:val="24"/>
                <w:highlight w:val="yellow"/>
                <w:lang w:eastAsia="es-CO"/>
              </w:rPr>
            </w:pPr>
            <w:r w:rsidRPr="00706E4B">
              <w:rPr>
                <w:rFonts w:ascii="Garamond" w:hAnsi="Garamond"/>
                <w:b/>
                <w:bCs/>
                <w:color w:val="000000"/>
                <w:sz w:val="24"/>
                <w:szCs w:val="24"/>
                <w:highlight w:val="yellow"/>
                <w:lang w:eastAsia="es-CO"/>
              </w:rPr>
              <w:t>ALCALDÍA</w:t>
            </w:r>
            <w:r w:rsidR="00835A12" w:rsidRPr="00706E4B">
              <w:rPr>
                <w:rFonts w:ascii="Garamond" w:hAnsi="Garamond"/>
                <w:b/>
                <w:bCs/>
                <w:color w:val="000000"/>
                <w:sz w:val="24"/>
                <w:szCs w:val="24"/>
                <w:highlight w:val="yellow"/>
                <w:lang w:eastAsia="es-CO"/>
              </w:rPr>
              <w:t xml:space="preserve"> </w:t>
            </w:r>
            <w:r w:rsidR="008376F9" w:rsidRPr="00706E4B">
              <w:rPr>
                <w:rFonts w:ascii="Garamond" w:hAnsi="Garamond"/>
                <w:b/>
                <w:bCs/>
                <w:color w:val="000000"/>
                <w:sz w:val="24"/>
                <w:szCs w:val="24"/>
                <w:highlight w:val="yellow"/>
                <w:lang w:eastAsia="es-CO"/>
              </w:rPr>
              <w:t>MUNICIPAL DE AQUITAN</w:t>
            </w:r>
            <w:r w:rsidRPr="00706E4B">
              <w:rPr>
                <w:rFonts w:ascii="Garamond" w:hAnsi="Garamond"/>
                <w:b/>
                <w:bCs/>
                <w:color w:val="000000"/>
                <w:sz w:val="24"/>
                <w:szCs w:val="24"/>
                <w:highlight w:val="yellow"/>
                <w:lang w:eastAsia="es-CO"/>
              </w:rPr>
              <w:t>I</w:t>
            </w:r>
            <w:r w:rsidR="008376F9" w:rsidRPr="00706E4B">
              <w:rPr>
                <w:rFonts w:ascii="Garamond" w:hAnsi="Garamond"/>
                <w:b/>
                <w:bCs/>
                <w:color w:val="000000"/>
                <w:sz w:val="24"/>
                <w:szCs w:val="24"/>
                <w:highlight w:val="yellow"/>
                <w:lang w:eastAsia="es-CO"/>
              </w:rPr>
              <w:t>A</w:t>
            </w:r>
          </w:p>
        </w:tc>
      </w:tr>
      <w:tr w:rsidR="00835A12" w:rsidRPr="00706E4B" w14:paraId="49626398" w14:textId="77777777" w:rsidTr="00993EBD">
        <w:trPr>
          <w:trHeight w:val="228"/>
        </w:trPr>
        <w:tc>
          <w:tcPr>
            <w:tcW w:w="2127" w:type="dxa"/>
            <w:vAlign w:val="center"/>
            <w:hideMark/>
          </w:tcPr>
          <w:p w14:paraId="4FE4AFED" w14:textId="77777777" w:rsidR="00835A12" w:rsidRPr="00706E4B" w:rsidRDefault="00835A12" w:rsidP="00993EBD">
            <w:pPr>
              <w:spacing w:line="276" w:lineRule="auto"/>
              <w:rPr>
                <w:rFonts w:ascii="Garamond" w:hAnsi="Garamond"/>
                <w:color w:val="262626"/>
                <w:sz w:val="24"/>
                <w:szCs w:val="24"/>
                <w:highlight w:val="yellow"/>
                <w:lang w:eastAsia="es-CO"/>
              </w:rPr>
            </w:pPr>
            <w:r w:rsidRPr="00706E4B">
              <w:rPr>
                <w:rFonts w:ascii="Garamond" w:hAnsi="Garamond"/>
                <w:color w:val="262626"/>
                <w:sz w:val="24"/>
                <w:szCs w:val="24"/>
                <w:highlight w:val="yellow"/>
                <w:lang w:eastAsia="es-CO"/>
              </w:rPr>
              <w:t>Precio estimado total:</w:t>
            </w:r>
          </w:p>
        </w:tc>
        <w:tc>
          <w:tcPr>
            <w:tcW w:w="6945" w:type="dxa"/>
            <w:vAlign w:val="center"/>
            <w:hideMark/>
          </w:tcPr>
          <w:p w14:paraId="133DEAB8" w14:textId="59FDD611" w:rsidR="00835A12" w:rsidRPr="00706E4B" w:rsidRDefault="005D4763"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 xml:space="preserve">$ </w:t>
            </w:r>
            <w:r w:rsidR="008376F9" w:rsidRPr="00706E4B">
              <w:rPr>
                <w:rFonts w:ascii="Garamond" w:hAnsi="Garamond"/>
                <w:color w:val="000000"/>
                <w:sz w:val="24"/>
                <w:szCs w:val="24"/>
                <w:highlight w:val="yellow"/>
                <w:lang w:eastAsia="es-CO"/>
              </w:rPr>
              <w:t xml:space="preserve">277.295.749 </w:t>
            </w:r>
            <w:r w:rsidR="00835A12" w:rsidRPr="00706E4B">
              <w:rPr>
                <w:rFonts w:ascii="Garamond" w:hAnsi="Garamond"/>
                <w:color w:val="000000"/>
                <w:sz w:val="24"/>
                <w:szCs w:val="24"/>
                <w:highlight w:val="yellow"/>
                <w:lang w:eastAsia="es-CO"/>
              </w:rPr>
              <w:t>COP</w:t>
            </w:r>
          </w:p>
        </w:tc>
      </w:tr>
      <w:tr w:rsidR="00835A12" w:rsidRPr="00706E4B" w14:paraId="31B0BF03" w14:textId="77777777" w:rsidTr="00993EBD">
        <w:trPr>
          <w:trHeight w:val="1440"/>
        </w:trPr>
        <w:tc>
          <w:tcPr>
            <w:tcW w:w="2127" w:type="dxa"/>
            <w:vAlign w:val="center"/>
            <w:hideMark/>
          </w:tcPr>
          <w:p w14:paraId="5E939462"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Descripción:</w:t>
            </w:r>
          </w:p>
        </w:tc>
        <w:tc>
          <w:tcPr>
            <w:tcW w:w="6945" w:type="dxa"/>
            <w:vAlign w:val="center"/>
            <w:hideMark/>
          </w:tcPr>
          <w:p w14:paraId="5EB06F75" w14:textId="7AC45675" w:rsidR="00835A12" w:rsidRPr="00706E4B" w:rsidRDefault="008376F9" w:rsidP="00993EBD">
            <w:pPr>
              <w:spacing w:line="276" w:lineRule="auto"/>
              <w:jc w:val="both"/>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AUNAR ESFUERZOS SOLIDARIOS ENTRE EL MUNICIPIO DE AQUITANIA BOYACÁ Y LA ASOCIACIÓN DE JUNTAS DE ACCIÓN COMUNAL DEL MUNICIPIO DE AQUITANIA, PARA EL MEJORAMIENTO DE VÍAS URBANAS Y RURALES DEL MUNICIPIO DE AQUITANIA</w:t>
            </w:r>
          </w:p>
        </w:tc>
      </w:tr>
      <w:tr w:rsidR="00835A12" w:rsidRPr="00706E4B" w14:paraId="1D49F07A" w14:textId="77777777" w:rsidTr="00993EBD">
        <w:trPr>
          <w:trHeight w:val="228"/>
        </w:trPr>
        <w:tc>
          <w:tcPr>
            <w:tcW w:w="2127" w:type="dxa"/>
            <w:vAlign w:val="center"/>
            <w:hideMark/>
          </w:tcPr>
          <w:p w14:paraId="649C91F5"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Tipo de contrato</w:t>
            </w:r>
          </w:p>
        </w:tc>
        <w:tc>
          <w:tcPr>
            <w:tcW w:w="6945" w:type="dxa"/>
            <w:vAlign w:val="center"/>
            <w:hideMark/>
          </w:tcPr>
          <w:p w14:paraId="659842DC" w14:textId="4A54801D" w:rsidR="00835A12" w:rsidRPr="00706E4B" w:rsidRDefault="008376F9"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Otro</w:t>
            </w:r>
          </w:p>
        </w:tc>
      </w:tr>
      <w:tr w:rsidR="00835A12" w:rsidRPr="00706E4B" w14:paraId="759911C3" w14:textId="77777777" w:rsidTr="00993EBD">
        <w:trPr>
          <w:trHeight w:val="228"/>
        </w:trPr>
        <w:tc>
          <w:tcPr>
            <w:tcW w:w="2127" w:type="dxa"/>
            <w:vAlign w:val="center"/>
            <w:hideMark/>
          </w:tcPr>
          <w:p w14:paraId="389B4A25"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Código UNSPSC</w:t>
            </w:r>
          </w:p>
        </w:tc>
        <w:tc>
          <w:tcPr>
            <w:tcW w:w="6945" w:type="dxa"/>
            <w:vAlign w:val="center"/>
            <w:hideMark/>
          </w:tcPr>
          <w:p w14:paraId="38782E68" w14:textId="45CD8630" w:rsidR="00835A12" w:rsidRPr="00706E4B" w:rsidRDefault="008376F9"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72141000</w:t>
            </w:r>
            <w:r w:rsidR="00835A12" w:rsidRPr="00706E4B">
              <w:rPr>
                <w:rFonts w:ascii="Garamond" w:hAnsi="Garamond"/>
                <w:color w:val="000000"/>
                <w:sz w:val="24"/>
                <w:szCs w:val="24"/>
                <w:highlight w:val="yellow"/>
                <w:lang w:eastAsia="es-CO"/>
              </w:rPr>
              <w:t xml:space="preserve"> </w:t>
            </w:r>
          </w:p>
        </w:tc>
      </w:tr>
      <w:tr w:rsidR="00835A12" w:rsidRPr="00706E4B" w14:paraId="334B7527" w14:textId="77777777" w:rsidTr="00993EBD">
        <w:trPr>
          <w:trHeight w:val="228"/>
        </w:trPr>
        <w:tc>
          <w:tcPr>
            <w:tcW w:w="2127" w:type="dxa"/>
            <w:vAlign w:val="center"/>
            <w:hideMark/>
          </w:tcPr>
          <w:p w14:paraId="7419D335"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Tipo de Proceso</w:t>
            </w:r>
          </w:p>
        </w:tc>
        <w:tc>
          <w:tcPr>
            <w:tcW w:w="6945" w:type="dxa"/>
            <w:vAlign w:val="center"/>
            <w:hideMark/>
          </w:tcPr>
          <w:p w14:paraId="1DC896BC" w14:textId="21C8AF6F" w:rsidR="00835A12" w:rsidRPr="00706E4B" w:rsidRDefault="008376F9"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Contratación Directa</w:t>
            </w:r>
          </w:p>
        </w:tc>
      </w:tr>
      <w:tr w:rsidR="00885241" w:rsidRPr="00706E4B" w14:paraId="661E94D0" w14:textId="77777777" w:rsidTr="00993EBD">
        <w:trPr>
          <w:trHeight w:val="228"/>
        </w:trPr>
        <w:tc>
          <w:tcPr>
            <w:tcW w:w="9072" w:type="dxa"/>
            <w:gridSpan w:val="2"/>
            <w:vAlign w:val="center"/>
            <w:hideMark/>
          </w:tcPr>
          <w:p w14:paraId="4DB9A5E8" w14:textId="77777777" w:rsidR="00885241" w:rsidRPr="00706E4B" w:rsidRDefault="00885241" w:rsidP="00993EBD">
            <w:pPr>
              <w:spacing w:line="276" w:lineRule="auto"/>
              <w:jc w:val="center"/>
              <w:rPr>
                <w:rFonts w:ascii="Garamond" w:hAnsi="Garamond"/>
                <w:b/>
                <w:bCs/>
                <w:color w:val="000000"/>
                <w:sz w:val="24"/>
                <w:szCs w:val="24"/>
                <w:highlight w:val="yellow"/>
                <w:lang w:eastAsia="es-CO"/>
              </w:rPr>
            </w:pPr>
            <w:r w:rsidRPr="00706E4B">
              <w:rPr>
                <w:rFonts w:ascii="Garamond" w:hAnsi="Garamond"/>
                <w:b/>
                <w:bCs/>
                <w:color w:val="000000"/>
                <w:sz w:val="24"/>
                <w:szCs w:val="24"/>
                <w:highlight w:val="yellow"/>
                <w:lang w:eastAsia="es-CO"/>
              </w:rPr>
              <w:t>Adjudicatario</w:t>
            </w:r>
          </w:p>
        </w:tc>
      </w:tr>
      <w:tr w:rsidR="00885241" w:rsidRPr="00706E4B" w14:paraId="19CB0E9E" w14:textId="77777777" w:rsidTr="00993EBD">
        <w:trPr>
          <w:trHeight w:val="228"/>
        </w:trPr>
        <w:tc>
          <w:tcPr>
            <w:tcW w:w="2127" w:type="dxa"/>
            <w:vAlign w:val="center"/>
          </w:tcPr>
          <w:p w14:paraId="3E3FE01B" w14:textId="77777777" w:rsidR="00885241" w:rsidRPr="00706E4B" w:rsidRDefault="00885241"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Adjudicado</w:t>
            </w:r>
          </w:p>
        </w:tc>
        <w:tc>
          <w:tcPr>
            <w:tcW w:w="6945" w:type="dxa"/>
            <w:vAlign w:val="center"/>
          </w:tcPr>
          <w:p w14:paraId="33853EE8" w14:textId="44A12145" w:rsidR="00885241" w:rsidRPr="00706E4B" w:rsidRDefault="005D4763"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ASOCIACIÓN DE JUNTAS DE ACCIÓN COMUNAL DE AQUITANIA</w:t>
            </w:r>
          </w:p>
        </w:tc>
      </w:tr>
      <w:tr w:rsidR="00885241" w:rsidRPr="00706E4B" w14:paraId="125C3E04" w14:textId="77777777" w:rsidTr="00993EBD">
        <w:trPr>
          <w:trHeight w:val="228"/>
        </w:trPr>
        <w:tc>
          <w:tcPr>
            <w:tcW w:w="2127" w:type="dxa"/>
            <w:vAlign w:val="center"/>
            <w:hideMark/>
          </w:tcPr>
          <w:p w14:paraId="1DFC900D" w14:textId="77777777" w:rsidR="00885241" w:rsidRPr="00706E4B" w:rsidRDefault="00885241"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Valor Adjudicado</w:t>
            </w:r>
          </w:p>
        </w:tc>
        <w:tc>
          <w:tcPr>
            <w:tcW w:w="6945" w:type="dxa"/>
            <w:vAlign w:val="center"/>
            <w:hideMark/>
          </w:tcPr>
          <w:p w14:paraId="7D2F1597" w14:textId="585484F3" w:rsidR="00885241" w:rsidRPr="00706E4B" w:rsidRDefault="005D4763"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$ 277.295.749 COP</w:t>
            </w:r>
          </w:p>
        </w:tc>
      </w:tr>
      <w:tr w:rsidR="00835A12" w:rsidRPr="00706E4B" w14:paraId="3E699FDE" w14:textId="77777777" w:rsidTr="00993EBD">
        <w:trPr>
          <w:trHeight w:val="228"/>
        </w:trPr>
        <w:tc>
          <w:tcPr>
            <w:tcW w:w="9072" w:type="dxa"/>
            <w:gridSpan w:val="2"/>
            <w:vAlign w:val="center"/>
            <w:hideMark/>
          </w:tcPr>
          <w:p w14:paraId="3B5EC99F" w14:textId="77777777" w:rsidR="00835A12" w:rsidRPr="00706E4B" w:rsidRDefault="00835A12" w:rsidP="00993EBD">
            <w:pPr>
              <w:spacing w:line="276" w:lineRule="auto"/>
              <w:jc w:val="center"/>
              <w:rPr>
                <w:rFonts w:ascii="Garamond" w:hAnsi="Garamond"/>
                <w:b/>
                <w:bCs/>
                <w:color w:val="000000"/>
                <w:sz w:val="24"/>
                <w:szCs w:val="24"/>
                <w:highlight w:val="yellow"/>
                <w:lang w:eastAsia="es-CO"/>
              </w:rPr>
            </w:pPr>
            <w:r w:rsidRPr="00706E4B">
              <w:rPr>
                <w:rFonts w:ascii="Garamond" w:hAnsi="Garamond"/>
                <w:b/>
                <w:bCs/>
                <w:color w:val="000000"/>
                <w:sz w:val="24"/>
                <w:szCs w:val="24"/>
                <w:highlight w:val="yellow"/>
                <w:lang w:eastAsia="es-CO"/>
              </w:rPr>
              <w:t>Garantías</w:t>
            </w:r>
          </w:p>
        </w:tc>
      </w:tr>
      <w:tr w:rsidR="00835A12" w:rsidRPr="00706E4B" w14:paraId="562DB5FE" w14:textId="77777777" w:rsidTr="00993EBD">
        <w:trPr>
          <w:trHeight w:val="228"/>
        </w:trPr>
        <w:tc>
          <w:tcPr>
            <w:tcW w:w="2127" w:type="dxa"/>
            <w:vAlign w:val="center"/>
            <w:hideMark/>
          </w:tcPr>
          <w:p w14:paraId="7526EFF2"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Cumplimiento del contrato</w:t>
            </w:r>
          </w:p>
        </w:tc>
        <w:tc>
          <w:tcPr>
            <w:tcW w:w="6945" w:type="dxa"/>
            <w:vAlign w:val="center"/>
            <w:hideMark/>
          </w:tcPr>
          <w:p w14:paraId="71D0111F" w14:textId="4C24AF0C" w:rsidR="00835A12" w:rsidRPr="00706E4B" w:rsidRDefault="00D33BF4"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1</w:t>
            </w:r>
            <w:r w:rsidR="00835A12" w:rsidRPr="00706E4B">
              <w:rPr>
                <w:rFonts w:ascii="Garamond" w:hAnsi="Garamond"/>
                <w:color w:val="000000"/>
                <w:sz w:val="24"/>
                <w:szCs w:val="24"/>
                <w:highlight w:val="yellow"/>
                <w:lang w:eastAsia="es-CO"/>
              </w:rPr>
              <w:t>0 % del valor del contrato</w:t>
            </w:r>
          </w:p>
        </w:tc>
      </w:tr>
      <w:tr w:rsidR="00835A12" w:rsidRPr="00706E4B" w14:paraId="6693ACC3" w14:textId="77777777" w:rsidTr="00993EBD">
        <w:trPr>
          <w:trHeight w:val="228"/>
        </w:trPr>
        <w:tc>
          <w:tcPr>
            <w:tcW w:w="2127" w:type="dxa"/>
            <w:vAlign w:val="center"/>
          </w:tcPr>
          <w:p w14:paraId="32ABA21F"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Pago de salarios</w:t>
            </w:r>
          </w:p>
        </w:tc>
        <w:tc>
          <w:tcPr>
            <w:tcW w:w="6945" w:type="dxa"/>
            <w:vAlign w:val="center"/>
          </w:tcPr>
          <w:p w14:paraId="7D7758B9"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5 % del valor del contrato</w:t>
            </w:r>
          </w:p>
        </w:tc>
      </w:tr>
      <w:tr w:rsidR="00835A12" w:rsidRPr="00706E4B" w14:paraId="01517073" w14:textId="77777777" w:rsidTr="00993EBD">
        <w:trPr>
          <w:trHeight w:val="228"/>
        </w:trPr>
        <w:tc>
          <w:tcPr>
            <w:tcW w:w="2127" w:type="dxa"/>
            <w:vAlign w:val="center"/>
          </w:tcPr>
          <w:p w14:paraId="6D418BBE" w14:textId="64378F54" w:rsidR="00835A12" w:rsidRPr="00706E4B" w:rsidRDefault="00D33BF4"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Estabilidad y calidad de la obra</w:t>
            </w:r>
          </w:p>
        </w:tc>
        <w:tc>
          <w:tcPr>
            <w:tcW w:w="6945" w:type="dxa"/>
            <w:vAlign w:val="center"/>
          </w:tcPr>
          <w:p w14:paraId="069AF263" w14:textId="20D3D898" w:rsidR="00835A12" w:rsidRPr="00706E4B" w:rsidRDefault="00D33BF4"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10</w:t>
            </w:r>
            <w:r w:rsidR="00835A12" w:rsidRPr="00706E4B">
              <w:rPr>
                <w:rFonts w:ascii="Garamond" w:hAnsi="Garamond"/>
                <w:color w:val="000000"/>
                <w:sz w:val="24"/>
                <w:szCs w:val="24"/>
                <w:highlight w:val="yellow"/>
                <w:lang w:eastAsia="es-CO"/>
              </w:rPr>
              <w:t>% del valor total del contrato</w:t>
            </w:r>
          </w:p>
        </w:tc>
      </w:tr>
      <w:tr w:rsidR="00835A12" w:rsidRPr="00706E4B" w14:paraId="6D2B4832" w14:textId="77777777" w:rsidTr="00993EBD">
        <w:trPr>
          <w:trHeight w:val="216"/>
        </w:trPr>
        <w:tc>
          <w:tcPr>
            <w:tcW w:w="2127" w:type="dxa"/>
            <w:vAlign w:val="center"/>
          </w:tcPr>
          <w:p w14:paraId="2C538CE6" w14:textId="77777777" w:rsidR="00835A12" w:rsidRPr="00706E4B" w:rsidRDefault="00835A12" w:rsidP="00993EBD">
            <w:pPr>
              <w:spacing w:line="276" w:lineRule="auto"/>
              <w:rPr>
                <w:rFonts w:ascii="Garamond" w:hAnsi="Garamond"/>
                <w:b/>
                <w:bCs/>
                <w:color w:val="000000"/>
                <w:sz w:val="24"/>
                <w:szCs w:val="24"/>
                <w:highlight w:val="yellow"/>
                <w:lang w:eastAsia="es-CO"/>
              </w:rPr>
            </w:pPr>
          </w:p>
        </w:tc>
        <w:tc>
          <w:tcPr>
            <w:tcW w:w="6945" w:type="dxa"/>
            <w:vAlign w:val="center"/>
            <w:hideMark/>
          </w:tcPr>
          <w:p w14:paraId="1C5111F9" w14:textId="77777777" w:rsidR="00835A12" w:rsidRPr="00706E4B" w:rsidRDefault="00835A12" w:rsidP="00993EBD">
            <w:pPr>
              <w:spacing w:line="276" w:lineRule="auto"/>
              <w:rPr>
                <w:rFonts w:ascii="Garamond" w:hAnsi="Garamond"/>
                <w:color w:val="000000"/>
                <w:sz w:val="24"/>
                <w:szCs w:val="24"/>
                <w:highlight w:val="yellow"/>
                <w:lang w:eastAsia="es-CO"/>
              </w:rPr>
            </w:pPr>
          </w:p>
        </w:tc>
      </w:tr>
      <w:tr w:rsidR="00835A12" w:rsidRPr="00706E4B" w14:paraId="7F507F08" w14:textId="77777777" w:rsidTr="00993EBD">
        <w:trPr>
          <w:trHeight w:val="228"/>
        </w:trPr>
        <w:tc>
          <w:tcPr>
            <w:tcW w:w="2127" w:type="dxa"/>
            <w:shd w:val="clear" w:color="auto" w:fill="FFF2CC" w:themeFill="accent4" w:themeFillTint="33"/>
            <w:noWrap/>
            <w:vAlign w:val="center"/>
            <w:hideMark/>
          </w:tcPr>
          <w:p w14:paraId="307D9A57" w14:textId="77777777" w:rsidR="00835A12" w:rsidRPr="00706E4B" w:rsidRDefault="00835A12" w:rsidP="00993EBD">
            <w:pPr>
              <w:spacing w:line="276" w:lineRule="auto"/>
              <w:rPr>
                <w:rFonts w:ascii="Garamond" w:eastAsiaTheme="minorHAnsi" w:hAnsi="Garamond"/>
                <w:sz w:val="24"/>
                <w:szCs w:val="24"/>
                <w:highlight w:val="yellow"/>
                <w:lang w:val="es-MX" w:eastAsia="en-US"/>
              </w:rPr>
            </w:pPr>
            <w:r w:rsidRPr="00706E4B">
              <w:rPr>
                <w:rFonts w:ascii="Garamond" w:hAnsi="Garamond"/>
                <w:b/>
                <w:bCs/>
                <w:color w:val="000000"/>
                <w:sz w:val="24"/>
                <w:szCs w:val="24"/>
                <w:highlight w:val="yellow"/>
                <w:lang w:eastAsia="es-CO"/>
              </w:rPr>
              <w:t>NÚMERO DE PROCESO</w:t>
            </w:r>
          </w:p>
        </w:tc>
        <w:tc>
          <w:tcPr>
            <w:tcW w:w="6945" w:type="dxa"/>
            <w:shd w:val="clear" w:color="auto" w:fill="FFF2CC" w:themeFill="accent4" w:themeFillTint="33"/>
            <w:noWrap/>
            <w:vAlign w:val="center"/>
            <w:hideMark/>
          </w:tcPr>
          <w:p w14:paraId="5D96DAB0" w14:textId="66D3D0B8" w:rsidR="00835A12" w:rsidRPr="00706E4B" w:rsidRDefault="00E90834" w:rsidP="00993EBD">
            <w:pPr>
              <w:spacing w:line="276" w:lineRule="auto"/>
              <w:rPr>
                <w:rFonts w:ascii="Garamond" w:eastAsiaTheme="minorHAnsi" w:hAnsi="Garamond"/>
                <w:b/>
                <w:bCs/>
                <w:sz w:val="24"/>
                <w:szCs w:val="24"/>
                <w:highlight w:val="yellow"/>
                <w:lang w:val="es-MX" w:eastAsia="en-US"/>
              </w:rPr>
            </w:pPr>
            <w:r w:rsidRPr="00706E4B">
              <w:rPr>
                <w:rFonts w:ascii="Garamond" w:hAnsi="Garamond"/>
                <w:b/>
                <w:bCs/>
                <w:color w:val="000000"/>
                <w:sz w:val="24"/>
                <w:szCs w:val="24"/>
                <w:highlight w:val="yellow"/>
                <w:lang w:eastAsia="es-CO"/>
              </w:rPr>
              <w:t>CD-CS-SPL-111-2025</w:t>
            </w:r>
          </w:p>
        </w:tc>
      </w:tr>
      <w:tr w:rsidR="00835A12" w:rsidRPr="00706E4B" w14:paraId="1F973279" w14:textId="77777777" w:rsidTr="00993EBD">
        <w:trPr>
          <w:trHeight w:val="228"/>
        </w:trPr>
        <w:tc>
          <w:tcPr>
            <w:tcW w:w="2127" w:type="dxa"/>
            <w:vAlign w:val="center"/>
            <w:hideMark/>
          </w:tcPr>
          <w:p w14:paraId="4E2641BA" w14:textId="77777777" w:rsidR="00835A12" w:rsidRPr="00706E4B" w:rsidRDefault="00835A12" w:rsidP="00993EBD">
            <w:pPr>
              <w:spacing w:line="276" w:lineRule="auto"/>
              <w:jc w:val="both"/>
              <w:rPr>
                <w:rFonts w:ascii="Garamond" w:hAnsi="Garamond"/>
                <w:b/>
                <w:bCs/>
                <w:color w:val="000000"/>
                <w:sz w:val="24"/>
                <w:szCs w:val="24"/>
                <w:highlight w:val="yellow"/>
                <w:lang w:eastAsia="es-CO"/>
              </w:rPr>
            </w:pPr>
            <w:r w:rsidRPr="00706E4B">
              <w:rPr>
                <w:rFonts w:ascii="Garamond" w:hAnsi="Garamond"/>
                <w:color w:val="000000"/>
                <w:sz w:val="24"/>
                <w:szCs w:val="24"/>
                <w:highlight w:val="yellow"/>
                <w:lang w:eastAsia="es-CO"/>
              </w:rPr>
              <w:lastRenderedPageBreak/>
              <w:t xml:space="preserve">LINK </w:t>
            </w:r>
          </w:p>
        </w:tc>
        <w:tc>
          <w:tcPr>
            <w:tcW w:w="6945" w:type="dxa"/>
            <w:vAlign w:val="center"/>
            <w:hideMark/>
          </w:tcPr>
          <w:p w14:paraId="3B05F9EF" w14:textId="5101FA6C" w:rsidR="00E90834" w:rsidRPr="00706E4B" w:rsidRDefault="00EA2778" w:rsidP="00993EBD">
            <w:pPr>
              <w:spacing w:line="276" w:lineRule="auto"/>
              <w:rPr>
                <w:rFonts w:ascii="Garamond" w:hAnsi="Garamond"/>
                <w:sz w:val="24"/>
                <w:szCs w:val="24"/>
                <w:highlight w:val="yellow"/>
              </w:rPr>
            </w:pPr>
            <w:hyperlink r:id="rId41" w:history="1">
              <w:r w:rsidR="00E90834" w:rsidRPr="00706E4B">
                <w:rPr>
                  <w:rStyle w:val="Hipervnculo"/>
                  <w:rFonts w:ascii="Garamond" w:hAnsi="Garamond"/>
                  <w:sz w:val="24"/>
                  <w:szCs w:val="24"/>
                  <w:highlight w:val="yellow"/>
                </w:rPr>
                <w:t>https://www.secop.gov.co/CO1BusinessLine/Tendering/ContractNoticeView/Index?prevCtxLbl=Buscar+procesos&amp;prevCtxUrl=https%3a%2f%2fwww.secop.gov.co%3a443%2fCO1BusinessLine%2fTendering%2fContractNoticeManagement%2fIndex&amp;notice=CO1.NTC.8254131</w:t>
              </w:r>
            </w:hyperlink>
          </w:p>
          <w:p w14:paraId="2CB46519" w14:textId="14FAB150" w:rsidR="00E90834" w:rsidRPr="00706E4B" w:rsidRDefault="00E90834" w:rsidP="00993EBD">
            <w:pPr>
              <w:spacing w:line="276" w:lineRule="auto"/>
              <w:rPr>
                <w:rFonts w:ascii="Garamond" w:hAnsi="Garamond"/>
                <w:sz w:val="24"/>
                <w:szCs w:val="24"/>
                <w:highlight w:val="yellow"/>
              </w:rPr>
            </w:pPr>
          </w:p>
        </w:tc>
      </w:tr>
      <w:tr w:rsidR="00835A12" w:rsidRPr="00706E4B" w14:paraId="1B17FDBF" w14:textId="77777777" w:rsidTr="00993EBD">
        <w:trPr>
          <w:trHeight w:val="511"/>
        </w:trPr>
        <w:tc>
          <w:tcPr>
            <w:tcW w:w="2127" w:type="dxa"/>
            <w:vAlign w:val="center"/>
            <w:hideMark/>
          </w:tcPr>
          <w:p w14:paraId="0677FCE4"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 xml:space="preserve">ENTIDAD </w:t>
            </w:r>
          </w:p>
        </w:tc>
        <w:tc>
          <w:tcPr>
            <w:tcW w:w="6945" w:type="dxa"/>
            <w:vAlign w:val="center"/>
          </w:tcPr>
          <w:p w14:paraId="442D5B65" w14:textId="41FF8199" w:rsidR="00835A12" w:rsidRPr="00706E4B" w:rsidRDefault="00EE5CF8" w:rsidP="00993EBD">
            <w:pPr>
              <w:spacing w:line="276" w:lineRule="auto"/>
              <w:rPr>
                <w:rFonts w:ascii="Garamond" w:hAnsi="Garamond"/>
                <w:sz w:val="24"/>
                <w:szCs w:val="24"/>
                <w:highlight w:val="yellow"/>
              </w:rPr>
            </w:pPr>
            <w:r w:rsidRPr="00706E4B">
              <w:rPr>
                <w:rFonts w:ascii="Garamond" w:hAnsi="Garamond"/>
                <w:b/>
                <w:bCs/>
                <w:color w:val="000000"/>
                <w:sz w:val="24"/>
                <w:szCs w:val="24"/>
                <w:highlight w:val="yellow"/>
                <w:lang w:eastAsia="es-CO"/>
              </w:rPr>
              <w:t>ALCALDÍA</w:t>
            </w:r>
            <w:r w:rsidR="00E90834" w:rsidRPr="00706E4B">
              <w:rPr>
                <w:rFonts w:ascii="Garamond" w:hAnsi="Garamond"/>
                <w:b/>
                <w:bCs/>
                <w:color w:val="000000"/>
                <w:sz w:val="24"/>
                <w:szCs w:val="24"/>
                <w:highlight w:val="yellow"/>
                <w:lang w:eastAsia="es-CO"/>
              </w:rPr>
              <w:t xml:space="preserve"> MUNICIPAL DE HATONUEVO</w:t>
            </w:r>
          </w:p>
        </w:tc>
      </w:tr>
      <w:tr w:rsidR="00835A12" w:rsidRPr="00706E4B" w14:paraId="28E60FF4" w14:textId="77777777" w:rsidTr="00993EBD">
        <w:trPr>
          <w:trHeight w:val="228"/>
        </w:trPr>
        <w:tc>
          <w:tcPr>
            <w:tcW w:w="2127" w:type="dxa"/>
            <w:vAlign w:val="center"/>
            <w:hideMark/>
          </w:tcPr>
          <w:p w14:paraId="026E49E1"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262626"/>
                <w:sz w:val="24"/>
                <w:szCs w:val="24"/>
                <w:highlight w:val="yellow"/>
                <w:lang w:eastAsia="es-CO"/>
              </w:rPr>
              <w:t>Precio estimado total:</w:t>
            </w:r>
          </w:p>
        </w:tc>
        <w:tc>
          <w:tcPr>
            <w:tcW w:w="6945" w:type="dxa"/>
            <w:vAlign w:val="center"/>
            <w:hideMark/>
          </w:tcPr>
          <w:p w14:paraId="5C14E6C6" w14:textId="4B70F606" w:rsidR="00835A12" w:rsidRPr="00706E4B" w:rsidRDefault="00E90834"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w:t>
            </w:r>
            <w:r w:rsidR="00361B26" w:rsidRPr="00706E4B">
              <w:rPr>
                <w:rFonts w:ascii="Garamond" w:hAnsi="Garamond"/>
                <w:sz w:val="24"/>
                <w:szCs w:val="24"/>
                <w:highlight w:val="yellow"/>
              </w:rPr>
              <w:t xml:space="preserve"> </w:t>
            </w:r>
            <w:r w:rsidR="00361B26" w:rsidRPr="00706E4B">
              <w:rPr>
                <w:rFonts w:ascii="Garamond" w:hAnsi="Garamond"/>
                <w:color w:val="000000"/>
                <w:sz w:val="24"/>
                <w:szCs w:val="24"/>
                <w:highlight w:val="yellow"/>
                <w:lang w:eastAsia="es-CO"/>
              </w:rPr>
              <w:t xml:space="preserve">176.743.395 </w:t>
            </w:r>
            <w:r w:rsidR="00835A12" w:rsidRPr="00706E4B">
              <w:rPr>
                <w:rFonts w:ascii="Garamond" w:hAnsi="Garamond"/>
                <w:color w:val="000000"/>
                <w:sz w:val="24"/>
                <w:szCs w:val="24"/>
                <w:highlight w:val="yellow"/>
                <w:lang w:eastAsia="es-CO"/>
              </w:rPr>
              <w:t>COP</w:t>
            </w:r>
          </w:p>
        </w:tc>
      </w:tr>
      <w:tr w:rsidR="00835A12" w:rsidRPr="00706E4B" w14:paraId="7FB98889" w14:textId="77777777" w:rsidTr="00993EBD">
        <w:trPr>
          <w:trHeight w:val="228"/>
        </w:trPr>
        <w:tc>
          <w:tcPr>
            <w:tcW w:w="2127" w:type="dxa"/>
            <w:vAlign w:val="center"/>
            <w:hideMark/>
          </w:tcPr>
          <w:p w14:paraId="1CFEBBD7" w14:textId="77777777" w:rsidR="00835A12" w:rsidRPr="00706E4B" w:rsidRDefault="00835A12" w:rsidP="00993EBD">
            <w:pPr>
              <w:spacing w:line="276" w:lineRule="auto"/>
              <w:rPr>
                <w:rFonts w:ascii="Garamond" w:hAnsi="Garamond"/>
                <w:color w:val="262626"/>
                <w:sz w:val="24"/>
                <w:szCs w:val="24"/>
                <w:highlight w:val="yellow"/>
                <w:lang w:eastAsia="es-CO"/>
              </w:rPr>
            </w:pPr>
            <w:r w:rsidRPr="00706E4B">
              <w:rPr>
                <w:rFonts w:ascii="Garamond" w:hAnsi="Garamond"/>
                <w:color w:val="000000"/>
                <w:sz w:val="24"/>
                <w:szCs w:val="24"/>
                <w:highlight w:val="yellow"/>
                <w:lang w:eastAsia="es-CO"/>
              </w:rPr>
              <w:t>Descripción:</w:t>
            </w:r>
          </w:p>
        </w:tc>
        <w:tc>
          <w:tcPr>
            <w:tcW w:w="6945" w:type="dxa"/>
            <w:vAlign w:val="center"/>
            <w:hideMark/>
          </w:tcPr>
          <w:p w14:paraId="7378E36C" w14:textId="36E86C71" w:rsidR="00835A12" w:rsidRPr="00706E4B" w:rsidRDefault="00E90834" w:rsidP="00993EBD">
            <w:pPr>
              <w:spacing w:line="276" w:lineRule="auto"/>
              <w:jc w:val="both"/>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AUNAR ESFUERZOS ENTRE LA ALCALDÍA MUNICIPAL DE HATONUEVO, LA GUAJIRA Y LA ASOCIACIÓN DE JUNTAS COMUNALES Y VIVIENDA COMUNITARIA DEL MUNICIPIO DE HATONUEVO, DEPARTAMENTO DE LA GUAJIRA PARA LA IMPLEMENTACIÓN DE ESTRATEGIAS DE EDUCACIÓN AMBIENTAL Y PAGOS POR SERVICIOS AMBIENTALES PARA LA CONSERVACIÓN DEL RECURSO HÍDRICO EN EL MUNICIPIO DE HATONUEVO, LA GUAJIRA</w:t>
            </w:r>
          </w:p>
        </w:tc>
      </w:tr>
      <w:tr w:rsidR="00835A12" w:rsidRPr="00706E4B" w14:paraId="2936DAC2" w14:textId="77777777" w:rsidTr="00993EBD">
        <w:trPr>
          <w:trHeight w:val="489"/>
        </w:trPr>
        <w:tc>
          <w:tcPr>
            <w:tcW w:w="2127" w:type="dxa"/>
            <w:vAlign w:val="center"/>
            <w:hideMark/>
          </w:tcPr>
          <w:p w14:paraId="0BB7FBF7"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Tipo de contrato</w:t>
            </w:r>
          </w:p>
        </w:tc>
        <w:tc>
          <w:tcPr>
            <w:tcW w:w="6945" w:type="dxa"/>
            <w:vAlign w:val="center"/>
            <w:hideMark/>
          </w:tcPr>
          <w:p w14:paraId="2C49E083" w14:textId="4B8D77F1" w:rsidR="00835A12" w:rsidRPr="00706E4B" w:rsidRDefault="00361B26" w:rsidP="00993EBD">
            <w:pPr>
              <w:spacing w:line="276" w:lineRule="auto"/>
              <w:jc w:val="both"/>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Obra</w:t>
            </w:r>
          </w:p>
        </w:tc>
      </w:tr>
      <w:tr w:rsidR="00835A12" w:rsidRPr="00706E4B" w14:paraId="65A8A2EC" w14:textId="77777777" w:rsidTr="00993EBD">
        <w:trPr>
          <w:trHeight w:val="228"/>
        </w:trPr>
        <w:tc>
          <w:tcPr>
            <w:tcW w:w="2127" w:type="dxa"/>
            <w:vAlign w:val="center"/>
            <w:hideMark/>
          </w:tcPr>
          <w:p w14:paraId="3872FDCC"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Código UNSPSC</w:t>
            </w:r>
          </w:p>
        </w:tc>
        <w:tc>
          <w:tcPr>
            <w:tcW w:w="6945" w:type="dxa"/>
            <w:vAlign w:val="center"/>
            <w:hideMark/>
          </w:tcPr>
          <w:p w14:paraId="2E7F533A" w14:textId="42BF2DB1" w:rsidR="00835A12" w:rsidRPr="00706E4B" w:rsidRDefault="00361B26" w:rsidP="00993EBD">
            <w:pPr>
              <w:spacing w:line="276" w:lineRule="auto"/>
              <w:rPr>
                <w:rFonts w:ascii="Garamond" w:hAnsi="Garamond"/>
                <w:color w:val="000000"/>
                <w:sz w:val="24"/>
                <w:szCs w:val="24"/>
                <w:highlight w:val="yellow"/>
                <w:lang w:eastAsia="es-CO"/>
              </w:rPr>
            </w:pPr>
            <w:r w:rsidRPr="00706E4B">
              <w:rPr>
                <w:rFonts w:ascii="Garamond" w:hAnsi="Garamond"/>
                <w:sz w:val="24"/>
                <w:szCs w:val="24"/>
                <w:highlight w:val="yellow"/>
                <w:lang w:eastAsia="es-CO"/>
              </w:rPr>
              <w:t>70161704</w:t>
            </w:r>
            <w:r w:rsidR="00835A12" w:rsidRPr="00706E4B">
              <w:rPr>
                <w:rFonts w:ascii="Garamond" w:hAnsi="Garamond"/>
                <w:sz w:val="24"/>
                <w:szCs w:val="24"/>
                <w:highlight w:val="yellow"/>
                <w:lang w:eastAsia="es-CO"/>
              </w:rPr>
              <w:t xml:space="preserve"> </w:t>
            </w:r>
            <w:r w:rsidRPr="00706E4B">
              <w:rPr>
                <w:rFonts w:ascii="Garamond" w:hAnsi="Garamond"/>
                <w:sz w:val="24"/>
                <w:szCs w:val="24"/>
                <w:highlight w:val="yellow"/>
                <w:lang w:eastAsia="es-CO"/>
              </w:rPr>
              <w:t>–</w:t>
            </w:r>
            <w:r w:rsidR="00835A12" w:rsidRPr="00706E4B">
              <w:rPr>
                <w:rFonts w:ascii="Garamond" w:hAnsi="Garamond"/>
                <w:sz w:val="24"/>
                <w:szCs w:val="24"/>
                <w:highlight w:val="yellow"/>
                <w:lang w:eastAsia="es-CO"/>
              </w:rPr>
              <w:t xml:space="preserve"> </w:t>
            </w:r>
            <w:r w:rsidRPr="00706E4B">
              <w:rPr>
                <w:rFonts w:ascii="Garamond" w:hAnsi="Garamond"/>
                <w:sz w:val="24"/>
                <w:szCs w:val="24"/>
                <w:highlight w:val="yellow"/>
                <w:lang w:eastAsia="es-CO"/>
              </w:rPr>
              <w:t>Servicios de protección de los ecosistemas</w:t>
            </w:r>
          </w:p>
        </w:tc>
      </w:tr>
      <w:tr w:rsidR="00835A12" w:rsidRPr="00706E4B" w14:paraId="6C2ACC5C" w14:textId="77777777" w:rsidTr="00993EBD">
        <w:trPr>
          <w:trHeight w:val="228"/>
        </w:trPr>
        <w:tc>
          <w:tcPr>
            <w:tcW w:w="2127" w:type="dxa"/>
            <w:vAlign w:val="center"/>
          </w:tcPr>
          <w:p w14:paraId="60EE93E6" w14:textId="77777777" w:rsidR="00835A12" w:rsidRPr="00706E4B" w:rsidRDefault="00835A12" w:rsidP="00993EBD">
            <w:pPr>
              <w:spacing w:line="276" w:lineRule="auto"/>
              <w:jc w:val="both"/>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Tipo de Proceso</w:t>
            </w:r>
          </w:p>
        </w:tc>
        <w:tc>
          <w:tcPr>
            <w:tcW w:w="6945" w:type="dxa"/>
            <w:vAlign w:val="center"/>
          </w:tcPr>
          <w:p w14:paraId="3BACB865" w14:textId="7049A7DE" w:rsidR="00835A12" w:rsidRPr="00706E4B" w:rsidRDefault="00361B26" w:rsidP="00993EBD">
            <w:pPr>
              <w:spacing w:line="276" w:lineRule="auto"/>
              <w:rPr>
                <w:rStyle w:val="vortaltextbox"/>
                <w:rFonts w:ascii="Garamond" w:hAnsi="Garamond" w:cs="Arial"/>
                <w:color w:val="000000"/>
                <w:sz w:val="24"/>
                <w:szCs w:val="24"/>
                <w:highlight w:val="yellow"/>
              </w:rPr>
            </w:pPr>
            <w:r w:rsidRPr="00706E4B">
              <w:rPr>
                <w:rFonts w:ascii="Garamond" w:hAnsi="Garamond"/>
                <w:color w:val="000000"/>
                <w:sz w:val="24"/>
                <w:szCs w:val="24"/>
                <w:highlight w:val="yellow"/>
                <w:lang w:eastAsia="es-CO"/>
              </w:rPr>
              <w:t>Contratación Directa</w:t>
            </w:r>
          </w:p>
        </w:tc>
      </w:tr>
      <w:tr w:rsidR="00F45FD9" w:rsidRPr="00706E4B" w14:paraId="16D1FA40" w14:textId="77777777" w:rsidTr="00993EBD">
        <w:trPr>
          <w:trHeight w:val="228"/>
        </w:trPr>
        <w:tc>
          <w:tcPr>
            <w:tcW w:w="9072" w:type="dxa"/>
            <w:gridSpan w:val="2"/>
            <w:vAlign w:val="center"/>
            <w:hideMark/>
          </w:tcPr>
          <w:p w14:paraId="3ABA4410" w14:textId="77777777" w:rsidR="00F45FD9" w:rsidRPr="00706E4B" w:rsidRDefault="00F45FD9" w:rsidP="00993EBD">
            <w:pPr>
              <w:spacing w:line="276" w:lineRule="auto"/>
              <w:jc w:val="center"/>
              <w:rPr>
                <w:rFonts w:ascii="Garamond" w:hAnsi="Garamond"/>
                <w:b/>
                <w:bCs/>
                <w:color w:val="000000"/>
                <w:sz w:val="24"/>
                <w:szCs w:val="24"/>
                <w:highlight w:val="yellow"/>
                <w:lang w:eastAsia="es-CO"/>
              </w:rPr>
            </w:pPr>
            <w:r w:rsidRPr="00706E4B">
              <w:rPr>
                <w:rFonts w:ascii="Garamond" w:hAnsi="Garamond"/>
                <w:b/>
                <w:bCs/>
                <w:color w:val="000000"/>
                <w:sz w:val="24"/>
                <w:szCs w:val="24"/>
                <w:highlight w:val="yellow"/>
                <w:lang w:eastAsia="es-CO"/>
              </w:rPr>
              <w:t>Adjudicatario</w:t>
            </w:r>
          </w:p>
        </w:tc>
      </w:tr>
      <w:tr w:rsidR="00F45FD9" w:rsidRPr="00706E4B" w14:paraId="178207B5" w14:textId="77777777" w:rsidTr="00993EBD">
        <w:trPr>
          <w:trHeight w:val="228"/>
        </w:trPr>
        <w:tc>
          <w:tcPr>
            <w:tcW w:w="2127" w:type="dxa"/>
            <w:vAlign w:val="center"/>
          </w:tcPr>
          <w:p w14:paraId="107A13F6" w14:textId="77777777" w:rsidR="00F45FD9" w:rsidRPr="00706E4B" w:rsidRDefault="00F45FD9"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Adjudicado</w:t>
            </w:r>
          </w:p>
        </w:tc>
        <w:tc>
          <w:tcPr>
            <w:tcW w:w="6945" w:type="dxa"/>
            <w:vAlign w:val="center"/>
          </w:tcPr>
          <w:p w14:paraId="365C8C60" w14:textId="39E71F34" w:rsidR="00F45FD9" w:rsidRPr="00706E4B" w:rsidRDefault="00F45FD9"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ASOJUNTAS HATONUEVO</w:t>
            </w:r>
          </w:p>
        </w:tc>
      </w:tr>
      <w:tr w:rsidR="00F45FD9" w:rsidRPr="00706E4B" w14:paraId="7530914B" w14:textId="77777777" w:rsidTr="00993EBD">
        <w:trPr>
          <w:trHeight w:val="228"/>
        </w:trPr>
        <w:tc>
          <w:tcPr>
            <w:tcW w:w="2127" w:type="dxa"/>
            <w:vAlign w:val="center"/>
            <w:hideMark/>
          </w:tcPr>
          <w:p w14:paraId="726E7382" w14:textId="77777777" w:rsidR="00F45FD9" w:rsidRPr="00706E4B" w:rsidRDefault="00F45FD9"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Valor Adjudicado</w:t>
            </w:r>
          </w:p>
        </w:tc>
        <w:tc>
          <w:tcPr>
            <w:tcW w:w="6945" w:type="dxa"/>
            <w:vAlign w:val="center"/>
            <w:hideMark/>
          </w:tcPr>
          <w:p w14:paraId="12522A61" w14:textId="60811629" w:rsidR="00F45FD9" w:rsidRPr="00706E4B" w:rsidRDefault="00F45FD9"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w:t>
            </w:r>
            <w:r w:rsidRPr="00706E4B">
              <w:rPr>
                <w:rFonts w:ascii="Garamond" w:hAnsi="Garamond"/>
                <w:sz w:val="24"/>
                <w:szCs w:val="24"/>
                <w:highlight w:val="yellow"/>
              </w:rPr>
              <w:t xml:space="preserve"> </w:t>
            </w:r>
            <w:r w:rsidRPr="00706E4B">
              <w:rPr>
                <w:rFonts w:ascii="Garamond" w:hAnsi="Garamond"/>
                <w:color w:val="000000"/>
                <w:sz w:val="24"/>
                <w:szCs w:val="24"/>
                <w:highlight w:val="yellow"/>
                <w:lang w:eastAsia="es-CO"/>
              </w:rPr>
              <w:t>176.743.395 COP</w:t>
            </w:r>
          </w:p>
        </w:tc>
      </w:tr>
      <w:tr w:rsidR="00203F0A" w:rsidRPr="00706E4B" w14:paraId="2AEE60EF" w14:textId="77777777" w:rsidTr="00993EBD">
        <w:trPr>
          <w:trHeight w:val="228"/>
        </w:trPr>
        <w:tc>
          <w:tcPr>
            <w:tcW w:w="9072" w:type="dxa"/>
            <w:gridSpan w:val="2"/>
            <w:vAlign w:val="center"/>
            <w:hideMark/>
          </w:tcPr>
          <w:p w14:paraId="18A5C7CA" w14:textId="18435744" w:rsidR="00203F0A" w:rsidRPr="00706E4B" w:rsidRDefault="00203F0A" w:rsidP="00203F0A">
            <w:pPr>
              <w:spacing w:line="276" w:lineRule="auto"/>
              <w:jc w:val="center"/>
              <w:rPr>
                <w:rFonts w:ascii="Garamond" w:hAnsi="Garamond"/>
                <w:b/>
                <w:bCs/>
                <w:color w:val="000000"/>
                <w:sz w:val="24"/>
                <w:szCs w:val="24"/>
                <w:highlight w:val="yellow"/>
                <w:lang w:eastAsia="es-CO"/>
              </w:rPr>
            </w:pPr>
            <w:r w:rsidRPr="00706E4B">
              <w:rPr>
                <w:rFonts w:ascii="Garamond" w:hAnsi="Garamond"/>
                <w:b/>
                <w:bCs/>
                <w:color w:val="000000"/>
                <w:sz w:val="24"/>
                <w:szCs w:val="24"/>
                <w:highlight w:val="yellow"/>
                <w:lang w:eastAsia="es-CO"/>
              </w:rPr>
              <w:t>Garantías</w:t>
            </w:r>
          </w:p>
        </w:tc>
      </w:tr>
      <w:tr w:rsidR="00835A12" w:rsidRPr="00706E4B" w14:paraId="4C4BD661" w14:textId="77777777" w:rsidTr="00993EBD">
        <w:trPr>
          <w:trHeight w:val="228"/>
        </w:trPr>
        <w:tc>
          <w:tcPr>
            <w:tcW w:w="2127" w:type="dxa"/>
            <w:vAlign w:val="center"/>
            <w:hideMark/>
          </w:tcPr>
          <w:p w14:paraId="0FD5FD93"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Cumplimiento del contrato</w:t>
            </w:r>
          </w:p>
        </w:tc>
        <w:tc>
          <w:tcPr>
            <w:tcW w:w="6945" w:type="dxa"/>
            <w:vAlign w:val="center"/>
            <w:hideMark/>
          </w:tcPr>
          <w:p w14:paraId="1F6DA47B" w14:textId="6A684A51" w:rsidR="00835A12" w:rsidRPr="00706E4B" w:rsidRDefault="00203F0A"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10</w:t>
            </w:r>
            <w:r w:rsidR="00835A12" w:rsidRPr="00706E4B">
              <w:rPr>
                <w:rFonts w:ascii="Garamond" w:hAnsi="Garamond"/>
                <w:color w:val="000000"/>
                <w:sz w:val="24"/>
                <w:szCs w:val="24"/>
                <w:highlight w:val="yellow"/>
                <w:lang w:eastAsia="es-CO"/>
              </w:rPr>
              <w:t xml:space="preserve"> % del valor del contrato</w:t>
            </w:r>
          </w:p>
        </w:tc>
      </w:tr>
      <w:tr w:rsidR="00835A12" w:rsidRPr="00706E4B" w14:paraId="13F18998" w14:textId="77777777" w:rsidTr="00993EBD">
        <w:trPr>
          <w:trHeight w:val="228"/>
        </w:trPr>
        <w:tc>
          <w:tcPr>
            <w:tcW w:w="2127" w:type="dxa"/>
            <w:vAlign w:val="center"/>
          </w:tcPr>
          <w:p w14:paraId="146C1CF6"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Pago de salarios</w:t>
            </w:r>
          </w:p>
        </w:tc>
        <w:tc>
          <w:tcPr>
            <w:tcW w:w="6945" w:type="dxa"/>
            <w:vAlign w:val="center"/>
          </w:tcPr>
          <w:p w14:paraId="129FB50E"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5 % del valor del contrato</w:t>
            </w:r>
          </w:p>
        </w:tc>
      </w:tr>
      <w:tr w:rsidR="00835A12" w:rsidRPr="00706E4B" w14:paraId="2F60E4AB" w14:textId="77777777" w:rsidTr="00993EBD">
        <w:trPr>
          <w:trHeight w:val="228"/>
        </w:trPr>
        <w:tc>
          <w:tcPr>
            <w:tcW w:w="2127" w:type="dxa"/>
            <w:tcBorders>
              <w:bottom w:val="single" w:sz="4" w:space="0" w:color="BFBFBF" w:themeColor="background1" w:themeShade="BF"/>
            </w:tcBorders>
            <w:vAlign w:val="center"/>
          </w:tcPr>
          <w:p w14:paraId="343845D7" w14:textId="24596918"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 xml:space="preserve">Calidad </w:t>
            </w:r>
            <w:r w:rsidR="00203F0A" w:rsidRPr="00706E4B">
              <w:rPr>
                <w:rFonts w:ascii="Garamond" w:hAnsi="Garamond"/>
                <w:color w:val="000000"/>
                <w:sz w:val="24"/>
                <w:szCs w:val="24"/>
                <w:highlight w:val="yellow"/>
                <w:lang w:eastAsia="es-CO"/>
              </w:rPr>
              <w:t>del servicio</w:t>
            </w:r>
          </w:p>
        </w:tc>
        <w:tc>
          <w:tcPr>
            <w:tcW w:w="6945" w:type="dxa"/>
            <w:tcBorders>
              <w:bottom w:val="single" w:sz="4" w:space="0" w:color="BFBFBF" w:themeColor="background1" w:themeShade="BF"/>
            </w:tcBorders>
            <w:vAlign w:val="center"/>
          </w:tcPr>
          <w:p w14:paraId="6DDC16BB" w14:textId="4008D0F0" w:rsidR="00835A12" w:rsidRPr="00706E4B" w:rsidRDefault="00203F0A"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1</w:t>
            </w:r>
            <w:r w:rsidR="00835A12" w:rsidRPr="00706E4B">
              <w:rPr>
                <w:rFonts w:ascii="Garamond" w:hAnsi="Garamond"/>
                <w:color w:val="000000"/>
                <w:sz w:val="24"/>
                <w:szCs w:val="24"/>
                <w:highlight w:val="yellow"/>
                <w:lang w:eastAsia="es-CO"/>
              </w:rPr>
              <w:t>0 % del valor del contrato</w:t>
            </w:r>
          </w:p>
        </w:tc>
      </w:tr>
      <w:tr w:rsidR="00835A12" w:rsidRPr="00706E4B" w14:paraId="20397D04" w14:textId="77777777" w:rsidTr="00993EBD">
        <w:trPr>
          <w:trHeight w:val="228"/>
        </w:trPr>
        <w:tc>
          <w:tcPr>
            <w:tcW w:w="2127" w:type="dxa"/>
            <w:tcBorders>
              <w:bottom w:val="single" w:sz="4" w:space="0" w:color="auto"/>
            </w:tcBorders>
            <w:vAlign w:val="center"/>
            <w:hideMark/>
          </w:tcPr>
          <w:p w14:paraId="33313AC8" w14:textId="77777777" w:rsidR="00835A12" w:rsidRPr="00706E4B" w:rsidRDefault="00835A12" w:rsidP="00993EBD">
            <w:pPr>
              <w:spacing w:line="276" w:lineRule="auto"/>
              <w:rPr>
                <w:rFonts w:ascii="Garamond" w:hAnsi="Garamond"/>
                <w:color w:val="000000"/>
                <w:sz w:val="24"/>
                <w:szCs w:val="24"/>
                <w:highlight w:val="yellow"/>
                <w:lang w:eastAsia="es-CO"/>
              </w:rPr>
            </w:pPr>
          </w:p>
        </w:tc>
        <w:tc>
          <w:tcPr>
            <w:tcW w:w="6945" w:type="dxa"/>
            <w:tcBorders>
              <w:bottom w:val="single" w:sz="4" w:space="0" w:color="auto"/>
            </w:tcBorders>
            <w:vAlign w:val="center"/>
            <w:hideMark/>
          </w:tcPr>
          <w:p w14:paraId="02A8C927" w14:textId="77777777" w:rsidR="00835A12" w:rsidRPr="00706E4B" w:rsidRDefault="00835A12" w:rsidP="00993EBD">
            <w:pPr>
              <w:spacing w:line="276" w:lineRule="auto"/>
              <w:rPr>
                <w:rFonts w:ascii="Garamond" w:hAnsi="Garamond"/>
                <w:color w:val="000000"/>
                <w:sz w:val="24"/>
                <w:szCs w:val="24"/>
                <w:highlight w:val="yellow"/>
                <w:lang w:eastAsia="es-CO"/>
              </w:rPr>
            </w:pPr>
          </w:p>
        </w:tc>
      </w:tr>
      <w:tr w:rsidR="00835A12" w:rsidRPr="00706E4B" w14:paraId="07A55A00" w14:textId="77777777" w:rsidTr="00993EBD">
        <w:trPr>
          <w:trHeight w:val="228"/>
        </w:trPr>
        <w:tc>
          <w:tcPr>
            <w:tcW w:w="2127" w:type="dxa"/>
            <w:tcBorders>
              <w:top w:val="nil"/>
            </w:tcBorders>
            <w:shd w:val="clear" w:color="auto" w:fill="FFF2CC" w:themeFill="accent4" w:themeFillTint="33"/>
            <w:vAlign w:val="center"/>
            <w:hideMark/>
          </w:tcPr>
          <w:p w14:paraId="587DBD7F"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NUMERO DE PROCESO</w:t>
            </w:r>
          </w:p>
        </w:tc>
        <w:tc>
          <w:tcPr>
            <w:tcW w:w="6945" w:type="dxa"/>
            <w:tcBorders>
              <w:top w:val="nil"/>
            </w:tcBorders>
            <w:shd w:val="clear" w:color="auto" w:fill="FFF2CC" w:themeFill="accent4" w:themeFillTint="33"/>
            <w:vAlign w:val="center"/>
            <w:hideMark/>
          </w:tcPr>
          <w:p w14:paraId="6ADBA712" w14:textId="6D7896BB" w:rsidR="00835A12" w:rsidRPr="00706E4B" w:rsidRDefault="00A3620F" w:rsidP="00993EBD">
            <w:pPr>
              <w:spacing w:line="276" w:lineRule="auto"/>
              <w:rPr>
                <w:rFonts w:ascii="Garamond" w:hAnsi="Garamond"/>
                <w:b/>
                <w:bCs/>
                <w:color w:val="000000"/>
                <w:sz w:val="24"/>
                <w:szCs w:val="24"/>
                <w:highlight w:val="yellow"/>
                <w:lang w:eastAsia="es-CO"/>
              </w:rPr>
            </w:pPr>
            <w:r w:rsidRPr="00706E4B">
              <w:rPr>
                <w:rFonts w:ascii="Garamond" w:hAnsi="Garamond"/>
                <w:b/>
                <w:bCs/>
                <w:color w:val="000000"/>
                <w:sz w:val="24"/>
                <w:szCs w:val="24"/>
                <w:highlight w:val="yellow"/>
                <w:lang w:eastAsia="es-CO"/>
              </w:rPr>
              <w:t>CONVENIO SOLIDARIO 006-2025</w:t>
            </w:r>
          </w:p>
        </w:tc>
      </w:tr>
      <w:tr w:rsidR="00835A12" w:rsidRPr="00706E4B" w14:paraId="229D4011" w14:textId="77777777" w:rsidTr="00993EBD">
        <w:trPr>
          <w:trHeight w:val="228"/>
        </w:trPr>
        <w:tc>
          <w:tcPr>
            <w:tcW w:w="2127" w:type="dxa"/>
            <w:vAlign w:val="center"/>
          </w:tcPr>
          <w:p w14:paraId="6D7A5A3C"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 xml:space="preserve">LINK </w:t>
            </w:r>
          </w:p>
        </w:tc>
        <w:tc>
          <w:tcPr>
            <w:tcW w:w="6945" w:type="dxa"/>
            <w:vAlign w:val="center"/>
          </w:tcPr>
          <w:p w14:paraId="7DC5BF1C" w14:textId="40B14171" w:rsidR="00A3620F" w:rsidRPr="00706E4B" w:rsidRDefault="00EA2778" w:rsidP="00993EBD">
            <w:pPr>
              <w:spacing w:line="276" w:lineRule="auto"/>
              <w:rPr>
                <w:rFonts w:ascii="Garamond" w:hAnsi="Garamond"/>
                <w:sz w:val="24"/>
                <w:szCs w:val="24"/>
                <w:highlight w:val="yellow"/>
              </w:rPr>
            </w:pPr>
            <w:hyperlink r:id="rId42" w:history="1">
              <w:r w:rsidR="00A3620F" w:rsidRPr="00706E4B">
                <w:rPr>
                  <w:rStyle w:val="Hipervnculo"/>
                  <w:rFonts w:ascii="Garamond" w:hAnsi="Garamond"/>
                  <w:sz w:val="24"/>
                  <w:szCs w:val="24"/>
                  <w:highlight w:val="yellow"/>
                </w:rPr>
                <w:t>https://www.secop.gov.co/CO1BusinessLine/Tendering/ContractNoticeView/Index?prevCtxLbl=Buscar+procesos&amp;prevCtxUrl=https%3a%2f%2fwww.secop.gov.co%3a443%2fCO1BusinessLine%2fTendering%2fContractNoticeManagement%2fIndex&amp;notice=CO1.NTC.8038230</w:t>
              </w:r>
            </w:hyperlink>
          </w:p>
          <w:p w14:paraId="09E49E65" w14:textId="601EFFE0" w:rsidR="00A3620F" w:rsidRPr="00706E4B" w:rsidRDefault="00A3620F" w:rsidP="00993EBD">
            <w:pPr>
              <w:spacing w:line="276" w:lineRule="auto"/>
              <w:rPr>
                <w:rFonts w:ascii="Garamond" w:hAnsi="Garamond"/>
                <w:sz w:val="24"/>
                <w:szCs w:val="24"/>
                <w:highlight w:val="yellow"/>
              </w:rPr>
            </w:pPr>
          </w:p>
        </w:tc>
      </w:tr>
      <w:tr w:rsidR="00835A12" w:rsidRPr="00706E4B" w14:paraId="21324AFC" w14:textId="77777777" w:rsidTr="00993EBD">
        <w:trPr>
          <w:trHeight w:val="228"/>
        </w:trPr>
        <w:tc>
          <w:tcPr>
            <w:tcW w:w="2127" w:type="dxa"/>
            <w:vAlign w:val="center"/>
            <w:hideMark/>
          </w:tcPr>
          <w:p w14:paraId="05AF8892"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 xml:space="preserve">ENTIDAD </w:t>
            </w:r>
          </w:p>
        </w:tc>
        <w:tc>
          <w:tcPr>
            <w:tcW w:w="6945" w:type="dxa"/>
            <w:vAlign w:val="center"/>
            <w:hideMark/>
          </w:tcPr>
          <w:p w14:paraId="3A170BF3" w14:textId="0D453B56" w:rsidR="00835A12" w:rsidRPr="00706E4B" w:rsidRDefault="006B4113" w:rsidP="00993EBD">
            <w:pPr>
              <w:spacing w:line="276" w:lineRule="auto"/>
              <w:rPr>
                <w:rFonts w:ascii="Garamond" w:hAnsi="Garamond"/>
                <w:color w:val="000000"/>
                <w:sz w:val="24"/>
                <w:szCs w:val="24"/>
                <w:highlight w:val="yellow"/>
                <w:lang w:eastAsia="es-CO"/>
              </w:rPr>
            </w:pPr>
            <w:r w:rsidRPr="00706E4B">
              <w:rPr>
                <w:rFonts w:ascii="Garamond" w:hAnsi="Garamond"/>
                <w:b/>
                <w:bCs/>
                <w:color w:val="000000"/>
                <w:sz w:val="24"/>
                <w:szCs w:val="24"/>
                <w:highlight w:val="yellow"/>
                <w:lang w:eastAsia="es-CO"/>
              </w:rPr>
              <w:t>ALCALDÍA</w:t>
            </w:r>
            <w:r w:rsidR="00835A12" w:rsidRPr="00706E4B">
              <w:rPr>
                <w:rFonts w:ascii="Garamond" w:hAnsi="Garamond"/>
                <w:b/>
                <w:bCs/>
                <w:color w:val="000000"/>
                <w:sz w:val="24"/>
                <w:szCs w:val="24"/>
                <w:highlight w:val="yellow"/>
                <w:lang w:eastAsia="es-CO"/>
              </w:rPr>
              <w:t xml:space="preserve"> </w:t>
            </w:r>
            <w:r w:rsidR="00A3620F" w:rsidRPr="00706E4B">
              <w:rPr>
                <w:rFonts w:ascii="Garamond" w:hAnsi="Garamond"/>
                <w:b/>
                <w:bCs/>
                <w:color w:val="000000"/>
                <w:sz w:val="24"/>
                <w:szCs w:val="24"/>
                <w:highlight w:val="yellow"/>
                <w:lang w:eastAsia="es-CO"/>
              </w:rPr>
              <w:t xml:space="preserve">MUNICIPAL DE MIRAFLORES </w:t>
            </w:r>
            <w:r w:rsidRPr="00706E4B">
              <w:rPr>
                <w:rFonts w:ascii="Garamond" w:hAnsi="Garamond"/>
                <w:b/>
                <w:bCs/>
                <w:color w:val="000000"/>
                <w:sz w:val="24"/>
                <w:szCs w:val="24"/>
                <w:highlight w:val="yellow"/>
                <w:lang w:eastAsia="es-CO"/>
              </w:rPr>
              <w:t>BOYACÁ</w:t>
            </w:r>
          </w:p>
        </w:tc>
      </w:tr>
      <w:tr w:rsidR="00835A12" w:rsidRPr="00706E4B" w14:paraId="549EE07A" w14:textId="77777777" w:rsidTr="00993EBD">
        <w:trPr>
          <w:trHeight w:val="228"/>
        </w:trPr>
        <w:tc>
          <w:tcPr>
            <w:tcW w:w="2127" w:type="dxa"/>
            <w:vAlign w:val="center"/>
            <w:hideMark/>
          </w:tcPr>
          <w:p w14:paraId="217379FE"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262626"/>
                <w:sz w:val="24"/>
                <w:szCs w:val="24"/>
                <w:highlight w:val="yellow"/>
                <w:lang w:eastAsia="es-CO"/>
              </w:rPr>
              <w:lastRenderedPageBreak/>
              <w:t>Precio estimado total:</w:t>
            </w:r>
          </w:p>
        </w:tc>
        <w:tc>
          <w:tcPr>
            <w:tcW w:w="6945" w:type="dxa"/>
            <w:vAlign w:val="center"/>
            <w:hideMark/>
          </w:tcPr>
          <w:p w14:paraId="661BD3F2" w14:textId="2468C76D" w:rsidR="00835A12" w:rsidRPr="00706E4B" w:rsidRDefault="00A3620F" w:rsidP="00993EBD">
            <w:pPr>
              <w:spacing w:line="276" w:lineRule="auto"/>
              <w:rPr>
                <w:rFonts w:ascii="Garamond" w:hAnsi="Garamond"/>
                <w:b/>
                <w:bCs/>
                <w:color w:val="000000"/>
                <w:sz w:val="24"/>
                <w:szCs w:val="24"/>
                <w:highlight w:val="yellow"/>
                <w:lang w:eastAsia="es-CO"/>
              </w:rPr>
            </w:pPr>
            <w:r w:rsidRPr="00706E4B">
              <w:rPr>
                <w:rFonts w:ascii="Garamond" w:hAnsi="Garamond"/>
                <w:color w:val="000000"/>
                <w:sz w:val="24"/>
                <w:szCs w:val="24"/>
                <w:highlight w:val="yellow"/>
                <w:lang w:eastAsia="es-CO"/>
              </w:rPr>
              <w:t xml:space="preserve">$ </w:t>
            </w:r>
            <w:r w:rsidR="00447AE3" w:rsidRPr="00706E4B">
              <w:rPr>
                <w:rFonts w:ascii="Garamond" w:hAnsi="Garamond"/>
                <w:color w:val="000000"/>
                <w:sz w:val="24"/>
                <w:szCs w:val="24"/>
                <w:highlight w:val="yellow"/>
                <w:lang w:eastAsia="es-CO"/>
              </w:rPr>
              <w:t>1</w:t>
            </w:r>
            <w:r w:rsidRPr="00706E4B">
              <w:rPr>
                <w:rFonts w:ascii="Garamond" w:hAnsi="Garamond"/>
                <w:color w:val="000000"/>
                <w:sz w:val="24"/>
                <w:szCs w:val="24"/>
                <w:highlight w:val="yellow"/>
                <w:lang w:eastAsia="es-CO"/>
              </w:rPr>
              <w:t xml:space="preserve">31.520.240 </w:t>
            </w:r>
            <w:r w:rsidR="00835A12" w:rsidRPr="00706E4B">
              <w:rPr>
                <w:rFonts w:ascii="Garamond" w:hAnsi="Garamond"/>
                <w:color w:val="000000"/>
                <w:sz w:val="24"/>
                <w:szCs w:val="24"/>
                <w:highlight w:val="yellow"/>
                <w:lang w:eastAsia="es-CO"/>
              </w:rPr>
              <w:t>COP</w:t>
            </w:r>
          </w:p>
        </w:tc>
      </w:tr>
      <w:tr w:rsidR="00835A12" w:rsidRPr="00706E4B" w14:paraId="025CC679" w14:textId="77777777" w:rsidTr="00993EBD">
        <w:trPr>
          <w:trHeight w:val="228"/>
        </w:trPr>
        <w:tc>
          <w:tcPr>
            <w:tcW w:w="2127" w:type="dxa"/>
            <w:vAlign w:val="center"/>
          </w:tcPr>
          <w:p w14:paraId="6E1681EF"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Descripción:</w:t>
            </w:r>
          </w:p>
        </w:tc>
        <w:tc>
          <w:tcPr>
            <w:tcW w:w="6945" w:type="dxa"/>
            <w:vAlign w:val="center"/>
          </w:tcPr>
          <w:p w14:paraId="708390F4" w14:textId="0755AA40" w:rsidR="00835A12" w:rsidRPr="00706E4B" w:rsidRDefault="00A3620F" w:rsidP="00A3620F">
            <w:pPr>
              <w:spacing w:line="276" w:lineRule="auto"/>
              <w:jc w:val="both"/>
              <w:rPr>
                <w:rFonts w:ascii="Garamond" w:hAnsi="Garamond"/>
                <w:b/>
                <w:bCs/>
                <w:color w:val="000000"/>
                <w:sz w:val="24"/>
                <w:szCs w:val="24"/>
                <w:highlight w:val="yellow"/>
                <w:lang w:eastAsia="es-CO"/>
              </w:rPr>
            </w:pPr>
            <w:r w:rsidRPr="00706E4B">
              <w:rPr>
                <w:rFonts w:ascii="Garamond" w:hAnsi="Garamond"/>
                <w:color w:val="000000"/>
                <w:sz w:val="24"/>
                <w:szCs w:val="24"/>
                <w:highlight w:val="yellow"/>
                <w:lang w:eastAsia="es-CO"/>
              </w:rPr>
              <w:t>AUNAR CONVENIO SOLIDARIO ENTRE EL MUNICIPIO DE MIRAFLORES Y ASOJUNTAS DEL MUNICIPIO DE MIRAFLORES, PARA EL APOYO AL MEJORAMIENTO Y MANTENIMIENTO DE VÍAS, PUENTES Y ALCANTARILLAS EN EL MUNICIPIO DE MIRAFLORES BOYACÁ</w:t>
            </w:r>
          </w:p>
        </w:tc>
      </w:tr>
      <w:tr w:rsidR="00835A12" w:rsidRPr="00706E4B" w14:paraId="49069957" w14:textId="77777777" w:rsidTr="00993EBD">
        <w:trPr>
          <w:trHeight w:val="228"/>
        </w:trPr>
        <w:tc>
          <w:tcPr>
            <w:tcW w:w="2127" w:type="dxa"/>
            <w:vAlign w:val="center"/>
            <w:hideMark/>
          </w:tcPr>
          <w:p w14:paraId="3C36BDBD"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Tipo de contrato</w:t>
            </w:r>
          </w:p>
        </w:tc>
        <w:tc>
          <w:tcPr>
            <w:tcW w:w="6945" w:type="dxa"/>
            <w:vAlign w:val="center"/>
          </w:tcPr>
          <w:p w14:paraId="1B19D4D4" w14:textId="55B6577C" w:rsidR="00835A12" w:rsidRPr="00706E4B" w:rsidRDefault="00447AE3" w:rsidP="00993EBD">
            <w:pPr>
              <w:spacing w:line="276" w:lineRule="auto"/>
              <w:rPr>
                <w:rFonts w:ascii="Garamond" w:hAnsi="Garamond"/>
                <w:b/>
                <w:bCs/>
                <w:color w:val="000000"/>
                <w:sz w:val="24"/>
                <w:szCs w:val="24"/>
                <w:highlight w:val="yellow"/>
                <w:lang w:eastAsia="es-CO"/>
              </w:rPr>
            </w:pPr>
            <w:r w:rsidRPr="00706E4B">
              <w:rPr>
                <w:rFonts w:ascii="Garamond" w:hAnsi="Garamond"/>
                <w:color w:val="000000"/>
                <w:sz w:val="24"/>
                <w:szCs w:val="24"/>
                <w:highlight w:val="yellow"/>
                <w:lang w:eastAsia="es-CO"/>
              </w:rPr>
              <w:t>Otro</w:t>
            </w:r>
          </w:p>
        </w:tc>
      </w:tr>
      <w:tr w:rsidR="00835A12" w:rsidRPr="00706E4B" w14:paraId="4E2EB820" w14:textId="77777777" w:rsidTr="00993EBD">
        <w:trPr>
          <w:trHeight w:val="557"/>
        </w:trPr>
        <w:tc>
          <w:tcPr>
            <w:tcW w:w="2127" w:type="dxa"/>
            <w:vAlign w:val="center"/>
            <w:hideMark/>
          </w:tcPr>
          <w:p w14:paraId="1D356DA8"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Código UNSPSC</w:t>
            </w:r>
          </w:p>
        </w:tc>
        <w:tc>
          <w:tcPr>
            <w:tcW w:w="6945" w:type="dxa"/>
            <w:vAlign w:val="center"/>
            <w:hideMark/>
          </w:tcPr>
          <w:p w14:paraId="25BC91B6" w14:textId="2D56921A" w:rsidR="00835A12" w:rsidRPr="00706E4B" w:rsidRDefault="00447AE3" w:rsidP="00993EBD">
            <w:pPr>
              <w:spacing w:line="276" w:lineRule="auto"/>
              <w:rPr>
                <w:rFonts w:ascii="Garamond" w:hAnsi="Garamond"/>
                <w:color w:val="467886"/>
                <w:sz w:val="24"/>
                <w:szCs w:val="24"/>
                <w:highlight w:val="yellow"/>
                <w:u w:val="single"/>
                <w:lang w:eastAsia="es-CO"/>
              </w:rPr>
            </w:pPr>
            <w:r w:rsidRPr="00706E4B">
              <w:rPr>
                <w:rFonts w:ascii="Garamond" w:hAnsi="Garamond"/>
                <w:color w:val="000000"/>
                <w:sz w:val="24"/>
                <w:szCs w:val="24"/>
                <w:highlight w:val="yellow"/>
                <w:lang w:eastAsia="es-CO"/>
              </w:rPr>
              <w:t>72141107 - Servicio de construcción y reparación de puentes</w:t>
            </w:r>
          </w:p>
        </w:tc>
      </w:tr>
      <w:tr w:rsidR="00835A12" w:rsidRPr="00706E4B" w14:paraId="682CAF48" w14:textId="77777777" w:rsidTr="00993EBD">
        <w:trPr>
          <w:trHeight w:val="228"/>
        </w:trPr>
        <w:tc>
          <w:tcPr>
            <w:tcW w:w="2127" w:type="dxa"/>
            <w:vAlign w:val="center"/>
            <w:hideMark/>
          </w:tcPr>
          <w:p w14:paraId="561A199E" w14:textId="77777777" w:rsidR="00835A12" w:rsidRPr="00706E4B" w:rsidRDefault="00835A12" w:rsidP="00993EBD">
            <w:pPr>
              <w:spacing w:line="276" w:lineRule="auto"/>
              <w:rPr>
                <w:rFonts w:ascii="Garamond" w:hAnsi="Garamond"/>
                <w:color w:val="262626"/>
                <w:sz w:val="24"/>
                <w:szCs w:val="24"/>
                <w:highlight w:val="yellow"/>
                <w:lang w:eastAsia="es-CO"/>
              </w:rPr>
            </w:pPr>
            <w:r w:rsidRPr="00706E4B">
              <w:rPr>
                <w:rFonts w:ascii="Garamond" w:hAnsi="Garamond"/>
                <w:color w:val="000000"/>
                <w:sz w:val="24"/>
                <w:szCs w:val="24"/>
                <w:highlight w:val="yellow"/>
                <w:lang w:eastAsia="es-CO"/>
              </w:rPr>
              <w:t xml:space="preserve">Tipo de proceso </w:t>
            </w:r>
          </w:p>
        </w:tc>
        <w:tc>
          <w:tcPr>
            <w:tcW w:w="6945" w:type="dxa"/>
            <w:vAlign w:val="center"/>
            <w:hideMark/>
          </w:tcPr>
          <w:p w14:paraId="42559472" w14:textId="2D96AB30" w:rsidR="00835A12" w:rsidRPr="00706E4B" w:rsidRDefault="00447AE3"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Contratación Directa</w:t>
            </w:r>
          </w:p>
        </w:tc>
      </w:tr>
      <w:tr w:rsidR="00835A12" w:rsidRPr="00706E4B" w14:paraId="74F09894" w14:textId="77777777" w:rsidTr="00993EBD">
        <w:trPr>
          <w:trHeight w:val="228"/>
        </w:trPr>
        <w:tc>
          <w:tcPr>
            <w:tcW w:w="9072" w:type="dxa"/>
            <w:gridSpan w:val="2"/>
            <w:vAlign w:val="center"/>
            <w:hideMark/>
          </w:tcPr>
          <w:p w14:paraId="6766FC79" w14:textId="77777777" w:rsidR="00835A12" w:rsidRPr="00706E4B" w:rsidRDefault="00835A12" w:rsidP="00993EBD">
            <w:pPr>
              <w:spacing w:line="276" w:lineRule="auto"/>
              <w:jc w:val="center"/>
              <w:rPr>
                <w:rFonts w:ascii="Garamond" w:hAnsi="Garamond"/>
                <w:b/>
                <w:bCs/>
                <w:color w:val="000000"/>
                <w:sz w:val="24"/>
                <w:szCs w:val="24"/>
                <w:highlight w:val="yellow"/>
                <w:lang w:eastAsia="es-CO"/>
              </w:rPr>
            </w:pPr>
            <w:bookmarkStart w:id="6" w:name="_Hlk201656698"/>
            <w:r w:rsidRPr="00706E4B">
              <w:rPr>
                <w:rFonts w:ascii="Garamond" w:hAnsi="Garamond"/>
                <w:b/>
                <w:bCs/>
                <w:color w:val="000000"/>
                <w:sz w:val="24"/>
                <w:szCs w:val="24"/>
                <w:highlight w:val="yellow"/>
                <w:lang w:eastAsia="es-CO"/>
              </w:rPr>
              <w:t>Adjudicatario</w:t>
            </w:r>
          </w:p>
        </w:tc>
      </w:tr>
      <w:tr w:rsidR="00835A12" w:rsidRPr="00706E4B" w14:paraId="68E72FBE" w14:textId="77777777" w:rsidTr="00993EBD">
        <w:trPr>
          <w:trHeight w:val="228"/>
        </w:trPr>
        <w:tc>
          <w:tcPr>
            <w:tcW w:w="2127" w:type="dxa"/>
            <w:vAlign w:val="center"/>
          </w:tcPr>
          <w:p w14:paraId="4D1A51D0"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Adjudicado</w:t>
            </w:r>
          </w:p>
        </w:tc>
        <w:tc>
          <w:tcPr>
            <w:tcW w:w="6945" w:type="dxa"/>
            <w:vAlign w:val="center"/>
          </w:tcPr>
          <w:p w14:paraId="05C16FB5" w14:textId="129392FF" w:rsidR="00835A12" w:rsidRPr="00706E4B" w:rsidRDefault="00447AE3"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ASOJUNTAS MIRAFLORES</w:t>
            </w:r>
          </w:p>
        </w:tc>
      </w:tr>
      <w:tr w:rsidR="00835A12" w:rsidRPr="00706E4B" w14:paraId="620BDC81" w14:textId="77777777" w:rsidTr="00993EBD">
        <w:trPr>
          <w:trHeight w:val="228"/>
        </w:trPr>
        <w:tc>
          <w:tcPr>
            <w:tcW w:w="2127" w:type="dxa"/>
            <w:vAlign w:val="center"/>
            <w:hideMark/>
          </w:tcPr>
          <w:p w14:paraId="081F86AF"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Valor Adjudicado</w:t>
            </w:r>
          </w:p>
        </w:tc>
        <w:tc>
          <w:tcPr>
            <w:tcW w:w="6945" w:type="dxa"/>
            <w:vAlign w:val="center"/>
            <w:hideMark/>
          </w:tcPr>
          <w:p w14:paraId="3C7EA850" w14:textId="243B023B" w:rsidR="00835A12" w:rsidRPr="00706E4B" w:rsidRDefault="00447AE3"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$ 131.520.240 COP</w:t>
            </w:r>
            <w:r w:rsidR="00835A12" w:rsidRPr="00706E4B">
              <w:rPr>
                <w:rFonts w:ascii="Garamond" w:hAnsi="Garamond"/>
                <w:color w:val="000000"/>
                <w:sz w:val="24"/>
                <w:szCs w:val="24"/>
                <w:highlight w:val="yellow"/>
                <w:lang w:eastAsia="es-CO"/>
              </w:rPr>
              <w:tab/>
            </w:r>
          </w:p>
        </w:tc>
      </w:tr>
      <w:bookmarkEnd w:id="6"/>
      <w:tr w:rsidR="00835A12" w:rsidRPr="00706E4B" w14:paraId="1D42DEBF" w14:textId="77777777" w:rsidTr="00993EBD">
        <w:trPr>
          <w:trHeight w:val="228"/>
        </w:trPr>
        <w:tc>
          <w:tcPr>
            <w:tcW w:w="9072" w:type="dxa"/>
            <w:gridSpan w:val="2"/>
            <w:vAlign w:val="center"/>
            <w:hideMark/>
          </w:tcPr>
          <w:p w14:paraId="7C1719BA" w14:textId="5BCCA768" w:rsidR="00835A12" w:rsidRPr="00706E4B" w:rsidRDefault="009E5629" w:rsidP="009E5629">
            <w:pPr>
              <w:spacing w:line="276" w:lineRule="auto"/>
              <w:jc w:val="center"/>
              <w:rPr>
                <w:rFonts w:ascii="Garamond" w:hAnsi="Garamond"/>
                <w:b/>
                <w:bCs/>
                <w:color w:val="000000"/>
                <w:sz w:val="24"/>
                <w:szCs w:val="24"/>
                <w:highlight w:val="yellow"/>
                <w:lang w:eastAsia="es-CO"/>
              </w:rPr>
            </w:pPr>
            <w:r w:rsidRPr="00706E4B">
              <w:rPr>
                <w:rFonts w:ascii="Garamond" w:hAnsi="Garamond"/>
                <w:b/>
                <w:bCs/>
                <w:color w:val="000000"/>
                <w:sz w:val="24"/>
                <w:szCs w:val="24"/>
                <w:highlight w:val="yellow"/>
                <w:lang w:eastAsia="es-CO"/>
              </w:rPr>
              <w:t>Garantías</w:t>
            </w:r>
          </w:p>
        </w:tc>
      </w:tr>
      <w:tr w:rsidR="00835A12" w:rsidRPr="00706E4B" w14:paraId="638B01BE" w14:textId="77777777" w:rsidTr="00993EBD">
        <w:trPr>
          <w:trHeight w:val="228"/>
        </w:trPr>
        <w:tc>
          <w:tcPr>
            <w:tcW w:w="2127" w:type="dxa"/>
            <w:vAlign w:val="center"/>
          </w:tcPr>
          <w:p w14:paraId="296807B3" w14:textId="77777777" w:rsidR="00835A12" w:rsidRPr="00706E4B" w:rsidRDefault="00835A12"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Cumplimiento del contrato</w:t>
            </w:r>
          </w:p>
        </w:tc>
        <w:tc>
          <w:tcPr>
            <w:tcW w:w="6945" w:type="dxa"/>
            <w:vAlign w:val="center"/>
          </w:tcPr>
          <w:p w14:paraId="16FC2E5A" w14:textId="2728ED4C" w:rsidR="00835A12" w:rsidRPr="00706E4B" w:rsidRDefault="00F45FD9"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1</w:t>
            </w:r>
            <w:r w:rsidR="00835A12" w:rsidRPr="00706E4B">
              <w:rPr>
                <w:rFonts w:ascii="Garamond" w:hAnsi="Garamond"/>
                <w:color w:val="000000"/>
                <w:sz w:val="24"/>
                <w:szCs w:val="24"/>
                <w:highlight w:val="yellow"/>
                <w:lang w:eastAsia="es-CO"/>
              </w:rPr>
              <w:t>0 % del valor del contrato</w:t>
            </w:r>
          </w:p>
        </w:tc>
      </w:tr>
      <w:tr w:rsidR="00835A12" w:rsidRPr="00706E4B" w14:paraId="1E74C71D" w14:textId="77777777" w:rsidTr="00993EBD">
        <w:trPr>
          <w:trHeight w:val="228"/>
        </w:trPr>
        <w:tc>
          <w:tcPr>
            <w:tcW w:w="2127" w:type="dxa"/>
            <w:vAlign w:val="center"/>
          </w:tcPr>
          <w:p w14:paraId="69E536B7" w14:textId="40A38582" w:rsidR="00835A12" w:rsidRPr="00706E4B" w:rsidRDefault="00F45FD9"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Estabilidad y calidad de la obra</w:t>
            </w:r>
          </w:p>
        </w:tc>
        <w:tc>
          <w:tcPr>
            <w:tcW w:w="6945" w:type="dxa"/>
            <w:vAlign w:val="center"/>
          </w:tcPr>
          <w:p w14:paraId="1970FBB3" w14:textId="7409CDFD" w:rsidR="00835A12" w:rsidRPr="00706E4B" w:rsidRDefault="00F45FD9" w:rsidP="00993EBD">
            <w:pPr>
              <w:spacing w:line="276" w:lineRule="auto"/>
              <w:rPr>
                <w:rFonts w:ascii="Garamond" w:hAnsi="Garamond"/>
                <w:color w:val="000000"/>
                <w:sz w:val="24"/>
                <w:szCs w:val="24"/>
                <w:highlight w:val="yellow"/>
                <w:lang w:eastAsia="es-CO"/>
              </w:rPr>
            </w:pPr>
            <w:r w:rsidRPr="00706E4B">
              <w:rPr>
                <w:rFonts w:ascii="Garamond" w:hAnsi="Garamond"/>
                <w:color w:val="000000"/>
                <w:sz w:val="24"/>
                <w:szCs w:val="24"/>
                <w:highlight w:val="yellow"/>
                <w:lang w:eastAsia="es-CO"/>
              </w:rPr>
              <w:t>1</w:t>
            </w:r>
            <w:r w:rsidR="00835A12" w:rsidRPr="00706E4B">
              <w:rPr>
                <w:rFonts w:ascii="Garamond" w:hAnsi="Garamond"/>
                <w:color w:val="000000"/>
                <w:sz w:val="24"/>
                <w:szCs w:val="24"/>
                <w:highlight w:val="yellow"/>
                <w:lang w:eastAsia="es-CO"/>
              </w:rPr>
              <w:t>0% del valor total del contrato</w:t>
            </w:r>
          </w:p>
        </w:tc>
      </w:tr>
    </w:tbl>
    <w:p w14:paraId="68105453" w14:textId="77777777" w:rsidR="00EE5CF8" w:rsidRPr="00706E4B" w:rsidRDefault="00EE5CF8" w:rsidP="00211D56">
      <w:pPr>
        <w:pStyle w:val="Prrafodelista"/>
        <w:tabs>
          <w:tab w:val="left" w:pos="567"/>
          <w:tab w:val="left" w:pos="8080"/>
        </w:tabs>
        <w:ind w:left="0" w:right="51"/>
        <w:jc w:val="both"/>
        <w:rPr>
          <w:rFonts w:ascii="Garamond" w:hAnsi="Garamond" w:cs="Arial"/>
          <w:sz w:val="24"/>
          <w:szCs w:val="24"/>
          <w:highlight w:val="yellow"/>
        </w:rPr>
      </w:pPr>
    </w:p>
    <w:p w14:paraId="08F54D75" w14:textId="333367B3" w:rsidR="00211D56" w:rsidRPr="00706E4B" w:rsidRDefault="00600BDB" w:rsidP="00211D56">
      <w:pPr>
        <w:rPr>
          <w:rFonts w:ascii="Garamond" w:eastAsia="Calibri" w:hAnsi="Garamond" w:cs="Arial"/>
          <w:b/>
          <w:sz w:val="24"/>
          <w:szCs w:val="24"/>
          <w:highlight w:val="yellow"/>
          <w:lang w:val="es-ES"/>
        </w:rPr>
      </w:pPr>
      <w:r w:rsidRPr="00706E4B">
        <w:rPr>
          <w:rFonts w:ascii="Garamond" w:eastAsia="Calibri" w:hAnsi="Garamond" w:cs="Arial"/>
          <w:b/>
          <w:sz w:val="24"/>
          <w:szCs w:val="24"/>
          <w:highlight w:val="yellow"/>
          <w:lang w:val="es-ES"/>
        </w:rPr>
        <w:t>3.</w:t>
      </w:r>
      <w:r w:rsidR="003D581D" w:rsidRPr="00706E4B">
        <w:rPr>
          <w:rFonts w:ascii="Garamond" w:eastAsia="Calibri" w:hAnsi="Garamond" w:cs="Arial"/>
          <w:b/>
          <w:sz w:val="24"/>
          <w:szCs w:val="24"/>
          <w:highlight w:val="yellow"/>
          <w:lang w:val="es-ES"/>
        </w:rPr>
        <w:t>3.</w:t>
      </w:r>
      <w:r w:rsidRPr="00706E4B">
        <w:rPr>
          <w:rFonts w:ascii="Garamond" w:eastAsia="Calibri" w:hAnsi="Garamond" w:cs="Arial"/>
          <w:b/>
          <w:sz w:val="24"/>
          <w:szCs w:val="24"/>
          <w:highlight w:val="yellow"/>
          <w:lang w:val="es-ES"/>
        </w:rPr>
        <w:t xml:space="preserve"> </w:t>
      </w:r>
      <w:r w:rsidR="003D581D" w:rsidRPr="00706E4B">
        <w:rPr>
          <w:rFonts w:ascii="Garamond" w:eastAsia="Calibri" w:hAnsi="Garamond" w:cs="Arial"/>
          <w:b/>
          <w:sz w:val="24"/>
          <w:szCs w:val="24"/>
          <w:highlight w:val="yellow"/>
          <w:lang w:val="es-ES"/>
        </w:rPr>
        <w:t xml:space="preserve">ADQUISICIONES ANTERIORES DEL SERVICIO POR PARTE DEL FDLCB </w:t>
      </w:r>
    </w:p>
    <w:p w14:paraId="3B269036" w14:textId="77777777" w:rsidR="00D32BBD" w:rsidRPr="00706E4B" w:rsidRDefault="00D32BBD" w:rsidP="00D06CB5">
      <w:pPr>
        <w:ind w:right="49"/>
        <w:jc w:val="both"/>
        <w:rPr>
          <w:rFonts w:ascii="Garamond" w:eastAsia="Calibri" w:hAnsi="Garamond" w:cs="Arial"/>
          <w:sz w:val="24"/>
          <w:szCs w:val="24"/>
          <w:highlight w:val="yellow"/>
        </w:rPr>
      </w:pPr>
    </w:p>
    <w:p w14:paraId="4A5B5A63" w14:textId="77777777" w:rsidR="00D32BBD" w:rsidRPr="00706E4B" w:rsidRDefault="00D32BBD" w:rsidP="00D32BBD">
      <w:pPr>
        <w:ind w:right="49"/>
        <w:jc w:val="both"/>
        <w:rPr>
          <w:rFonts w:ascii="Garamond" w:eastAsia="Calibri" w:hAnsi="Garamond" w:cs="Arial"/>
          <w:sz w:val="24"/>
          <w:szCs w:val="24"/>
          <w:highlight w:val="yellow"/>
        </w:rPr>
      </w:pPr>
    </w:p>
    <w:p w14:paraId="2C6DB4CE" w14:textId="0390BE96" w:rsidR="00567A05" w:rsidRPr="00706E4B" w:rsidRDefault="00567A05" w:rsidP="00567A05">
      <w:pPr>
        <w:pStyle w:val="Standard"/>
        <w:autoSpaceDE w:val="0"/>
        <w:jc w:val="both"/>
        <w:rPr>
          <w:rFonts w:ascii="Garamond" w:hAnsi="Garamond" w:cs="Arial"/>
          <w:color w:val="000000"/>
          <w:sz w:val="24"/>
          <w:szCs w:val="24"/>
        </w:rPr>
      </w:pPr>
      <w:r w:rsidRPr="00706E4B">
        <w:rPr>
          <w:rFonts w:ascii="Garamond" w:hAnsi="Garamond" w:cs="Arial"/>
          <w:color w:val="000000"/>
          <w:sz w:val="24"/>
          <w:szCs w:val="24"/>
          <w:highlight w:val="yellow"/>
        </w:rPr>
        <w:t xml:space="preserve">Es importante conocer que el FDLCB para el año 2025 </w:t>
      </w:r>
      <w:r w:rsidR="00A06C84">
        <w:rPr>
          <w:rFonts w:ascii="Garamond" w:hAnsi="Garamond" w:cs="Arial"/>
          <w:color w:val="000000"/>
          <w:sz w:val="24"/>
          <w:szCs w:val="24"/>
          <w:highlight w:val="yellow"/>
        </w:rPr>
        <w:t xml:space="preserve">mediante contratación directa, </w:t>
      </w:r>
      <w:r w:rsidRPr="00706E4B">
        <w:rPr>
          <w:rFonts w:ascii="Garamond" w:hAnsi="Garamond" w:cs="Arial"/>
          <w:color w:val="000000"/>
          <w:sz w:val="24"/>
          <w:szCs w:val="24"/>
          <w:highlight w:val="yellow"/>
        </w:rPr>
        <w:t xml:space="preserve">suscribió contrato de prestación de servicios con numero de proceso FDLCBCD-822-2025 con el objeto de “PRESTAR LOS SERVICIOS PARA DESARROLLAR LAS ACTIVIDADES QUE FORTALEZCAN LOS PROCESOS DE FORMACIÓN COMUNAL A DIGNATARIOS Y DIGNATARIAS DE LA LOCALIDAD, EN EL MARCO DE LAS METAS ESTABLECIDAS DENTRO DEL PLAN DE DESARROLLO LOCAL, VIGENCIA </w:t>
      </w:r>
      <w:commentRangeStart w:id="7"/>
      <w:r w:rsidRPr="00706E4B">
        <w:rPr>
          <w:rFonts w:ascii="Garamond" w:hAnsi="Garamond" w:cs="Arial"/>
          <w:color w:val="000000"/>
          <w:sz w:val="24"/>
          <w:szCs w:val="24"/>
          <w:highlight w:val="yellow"/>
        </w:rPr>
        <w:t>2025</w:t>
      </w:r>
      <w:commentRangeEnd w:id="7"/>
      <w:r w:rsidR="00A06C84">
        <w:rPr>
          <w:rStyle w:val="Refdecomentario"/>
          <w:kern w:val="0"/>
          <w:lang w:eastAsia="es-ES"/>
        </w:rPr>
        <w:commentReference w:id="7"/>
      </w:r>
      <w:r w:rsidRPr="00706E4B">
        <w:rPr>
          <w:rFonts w:ascii="Garamond" w:hAnsi="Garamond" w:cs="Arial"/>
          <w:color w:val="000000"/>
          <w:sz w:val="24"/>
          <w:szCs w:val="24"/>
          <w:highlight w:val="yellow"/>
        </w:rPr>
        <w:t>”.</w:t>
      </w:r>
    </w:p>
    <w:p w14:paraId="5AFCA356" w14:textId="77777777" w:rsidR="00356180" w:rsidRPr="00706E4B" w:rsidRDefault="00356180" w:rsidP="00C47D6D">
      <w:pPr>
        <w:rPr>
          <w:rFonts w:ascii="Garamond" w:hAnsi="Garamond" w:cs="Arial"/>
          <w:kern w:val="3"/>
          <w:sz w:val="24"/>
          <w:szCs w:val="24"/>
          <w:lang w:eastAsia="zh-CN"/>
        </w:rPr>
      </w:pPr>
    </w:p>
    <w:p w14:paraId="188F3276" w14:textId="77777777" w:rsidR="00567A05" w:rsidRPr="00706E4B" w:rsidRDefault="00567A05" w:rsidP="00C47D6D">
      <w:pPr>
        <w:rPr>
          <w:rFonts w:ascii="Garamond" w:hAnsi="Garamond" w:cs="Arial"/>
          <w:kern w:val="3"/>
          <w:sz w:val="24"/>
          <w:szCs w:val="24"/>
          <w:lang w:eastAsia="zh-CN"/>
        </w:rPr>
      </w:pPr>
    </w:p>
    <w:p w14:paraId="58B76A85" w14:textId="2B6BB4B5" w:rsidR="00211D56" w:rsidRPr="00706E4B" w:rsidRDefault="00211D56" w:rsidP="00DB00C0">
      <w:pPr>
        <w:pStyle w:val="Standard"/>
        <w:numPr>
          <w:ilvl w:val="0"/>
          <w:numId w:val="19"/>
        </w:numPr>
        <w:tabs>
          <w:tab w:val="left" w:pos="3913"/>
        </w:tabs>
        <w:spacing w:line="276" w:lineRule="auto"/>
        <w:jc w:val="both"/>
        <w:rPr>
          <w:rFonts w:ascii="Garamond" w:hAnsi="Garamond" w:cs="Arial"/>
          <w:b/>
          <w:bCs/>
          <w:sz w:val="24"/>
          <w:szCs w:val="24"/>
        </w:rPr>
      </w:pPr>
      <w:r w:rsidRPr="00706E4B">
        <w:rPr>
          <w:rFonts w:ascii="Garamond" w:hAnsi="Garamond" w:cs="Arial"/>
          <w:b/>
          <w:bCs/>
          <w:sz w:val="24"/>
          <w:szCs w:val="24"/>
        </w:rPr>
        <w:t xml:space="preserve">CONCLUSIONES </w:t>
      </w:r>
    </w:p>
    <w:p w14:paraId="4BB862C6" w14:textId="77777777" w:rsidR="00B6574D" w:rsidRPr="00706E4B" w:rsidRDefault="00B6574D" w:rsidP="007A448E">
      <w:pPr>
        <w:pStyle w:val="Standard"/>
        <w:tabs>
          <w:tab w:val="left" w:pos="3913"/>
        </w:tabs>
        <w:spacing w:line="276" w:lineRule="auto"/>
        <w:ind w:left="1440"/>
        <w:jc w:val="both"/>
        <w:rPr>
          <w:rFonts w:ascii="Garamond" w:hAnsi="Garamond" w:cs="Arial"/>
          <w:b/>
          <w:bCs/>
          <w:sz w:val="24"/>
          <w:szCs w:val="24"/>
        </w:rPr>
      </w:pPr>
    </w:p>
    <w:p w14:paraId="0F7E613D" w14:textId="77777777" w:rsidR="00211D56" w:rsidRPr="00706E4B" w:rsidRDefault="00211D56" w:rsidP="00211D56">
      <w:pPr>
        <w:pStyle w:val="Standard"/>
        <w:tabs>
          <w:tab w:val="left" w:pos="3913"/>
        </w:tabs>
        <w:spacing w:line="276" w:lineRule="auto"/>
        <w:jc w:val="both"/>
        <w:rPr>
          <w:rFonts w:ascii="Garamond" w:hAnsi="Garamond" w:cs="Arial"/>
          <w:b/>
          <w:bCs/>
          <w:sz w:val="24"/>
          <w:szCs w:val="24"/>
        </w:rPr>
      </w:pPr>
    </w:p>
    <w:p w14:paraId="7E650A5E" w14:textId="77777777" w:rsidR="00211D56" w:rsidRPr="00706E4B" w:rsidRDefault="00211D56" w:rsidP="00211D56">
      <w:pPr>
        <w:spacing w:line="276" w:lineRule="auto"/>
        <w:jc w:val="both"/>
        <w:rPr>
          <w:rFonts w:ascii="Garamond" w:hAnsi="Garamond" w:cs="Arial"/>
          <w:b/>
          <w:bCs/>
          <w:sz w:val="24"/>
          <w:szCs w:val="24"/>
        </w:rPr>
      </w:pPr>
      <w:r w:rsidRPr="00706E4B">
        <w:rPr>
          <w:rFonts w:ascii="Garamond" w:hAnsi="Garamond" w:cs="Arial"/>
          <w:bCs/>
          <w:sz w:val="24"/>
          <w:szCs w:val="24"/>
        </w:rPr>
        <w:t xml:space="preserve">Con base en la información compilada en este documento se puede concluir que no existen coyunturas o dificultades por parte de los oferentes del mercado que dificulten la prestación del servicio, como se explica en los diferentes, aspectos, estudios y análisis del presente del documento, </w:t>
      </w:r>
      <w:r w:rsidRPr="00706E4B">
        <w:rPr>
          <w:rFonts w:ascii="Garamond" w:hAnsi="Garamond" w:cs="Arial"/>
          <w:bCs/>
          <w:sz w:val="24"/>
          <w:szCs w:val="24"/>
        </w:rPr>
        <w:lastRenderedPageBreak/>
        <w:t xml:space="preserve">los aspectos financieros del sector permiten tener tranquilidad en ese sentido, sin desconocer la matriz de riesgos para el presente proceso. </w:t>
      </w:r>
    </w:p>
    <w:p w14:paraId="1A8AE2D0" w14:textId="77777777" w:rsidR="00C67AE5" w:rsidRPr="00706E4B" w:rsidRDefault="00C67AE5" w:rsidP="00FE0D26">
      <w:pPr>
        <w:spacing w:line="276" w:lineRule="auto"/>
        <w:jc w:val="both"/>
        <w:rPr>
          <w:rFonts w:ascii="Garamond" w:hAnsi="Garamond" w:cs="Arial"/>
          <w:bCs/>
          <w:sz w:val="24"/>
          <w:szCs w:val="24"/>
          <w:highlight w:val="yellow"/>
        </w:rPr>
      </w:pPr>
    </w:p>
    <w:p w14:paraId="7BEF3B70" w14:textId="77777777" w:rsidR="00C67AE5" w:rsidRPr="00706E4B" w:rsidRDefault="00C67AE5" w:rsidP="00FE0D26">
      <w:pPr>
        <w:spacing w:line="276" w:lineRule="auto"/>
        <w:jc w:val="both"/>
        <w:rPr>
          <w:rFonts w:ascii="Garamond" w:hAnsi="Garamond" w:cs="Arial"/>
          <w:bCs/>
          <w:sz w:val="24"/>
          <w:szCs w:val="24"/>
          <w:highlight w:val="yellow"/>
        </w:rPr>
      </w:pPr>
    </w:p>
    <w:p w14:paraId="319A2C0B" w14:textId="4B7D1707" w:rsidR="008576BE" w:rsidRPr="00706E4B" w:rsidRDefault="008576BE" w:rsidP="00FE0D26">
      <w:pPr>
        <w:jc w:val="both"/>
        <w:rPr>
          <w:rFonts w:ascii="Garamond" w:hAnsi="Garamond" w:cs="Arial"/>
          <w:b/>
          <w:bCs/>
          <w:sz w:val="24"/>
          <w:szCs w:val="24"/>
        </w:rPr>
      </w:pPr>
      <w:r w:rsidRPr="00706E4B">
        <w:rPr>
          <w:rFonts w:ascii="Garamond" w:hAnsi="Garamond" w:cs="Arial"/>
          <w:b/>
          <w:bCs/>
          <w:sz w:val="24"/>
          <w:szCs w:val="24"/>
        </w:rPr>
        <w:t xml:space="preserve">RESPONSABLES: </w:t>
      </w:r>
    </w:p>
    <w:p w14:paraId="187EAF16" w14:textId="497BCE40" w:rsidR="001D4180" w:rsidRPr="00706E4B" w:rsidRDefault="001D4180" w:rsidP="00FE0D26">
      <w:pPr>
        <w:jc w:val="both"/>
        <w:rPr>
          <w:rFonts w:ascii="Garamond" w:hAnsi="Garamond" w:cs="Arial"/>
          <w:b/>
          <w:bCs/>
          <w:sz w:val="24"/>
          <w:szCs w:val="24"/>
        </w:rPr>
      </w:pPr>
    </w:p>
    <w:p w14:paraId="44D26EA8" w14:textId="2EBA6C56" w:rsidR="00165A8A" w:rsidRPr="00706E4B" w:rsidRDefault="00070578" w:rsidP="007D024B">
      <w:pPr>
        <w:jc w:val="both"/>
        <w:rPr>
          <w:rFonts w:ascii="Garamond" w:hAnsi="Garamond" w:cs="Arial"/>
          <w:sz w:val="24"/>
          <w:szCs w:val="24"/>
        </w:rPr>
      </w:pPr>
      <w:r w:rsidRPr="00706E4B">
        <w:rPr>
          <w:rFonts w:ascii="Garamond" w:hAnsi="Garamond" w:cs="Arial"/>
          <w:b/>
          <w:sz w:val="24"/>
          <w:szCs w:val="24"/>
        </w:rPr>
        <w:t xml:space="preserve">Proyectó: </w:t>
      </w:r>
      <w:r w:rsidR="00165A8A" w:rsidRPr="00706E4B">
        <w:rPr>
          <w:rFonts w:ascii="Garamond" w:hAnsi="Garamond" w:cs="Arial"/>
          <w:sz w:val="24"/>
          <w:szCs w:val="24"/>
        </w:rPr>
        <w:t xml:space="preserve">Fabian Oswaldo </w:t>
      </w:r>
      <w:r w:rsidR="00F96334" w:rsidRPr="00706E4B">
        <w:rPr>
          <w:rFonts w:ascii="Garamond" w:hAnsi="Garamond" w:cs="Arial"/>
          <w:sz w:val="24"/>
          <w:szCs w:val="24"/>
        </w:rPr>
        <w:t>Arcos Muñoz – CPS-138-2025 Contratista FDLCB</w:t>
      </w:r>
      <w:r w:rsidR="003C195B" w:rsidRPr="00706E4B">
        <w:rPr>
          <w:rFonts w:ascii="Garamond" w:hAnsi="Garamond" w:cs="Arial"/>
          <w:noProof/>
          <w:sz w:val="24"/>
          <w:szCs w:val="24"/>
        </w:rPr>
        <w:drawing>
          <wp:inline distT="0" distB="0" distL="0" distR="0" wp14:anchorId="40DAFE2D" wp14:editId="66FDC7D6">
            <wp:extent cx="419100" cy="209550"/>
            <wp:effectExtent l="0" t="0" r="0" b="0"/>
            <wp:docPr id="1497375580"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375580" name="Imagen 1" descr="Texto, Carta&#10;&#10;Descripción generada automáticament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21818" cy="210909"/>
                    </a:xfrm>
                    <a:prstGeom prst="rect">
                      <a:avLst/>
                    </a:prstGeom>
                  </pic:spPr>
                </pic:pic>
              </a:graphicData>
            </a:graphic>
          </wp:inline>
        </w:drawing>
      </w:r>
    </w:p>
    <w:p w14:paraId="2EE50EB5" w14:textId="1B1A549F" w:rsidR="00E41B1E" w:rsidRPr="00706E4B" w:rsidRDefault="00E41B1E" w:rsidP="007D024B">
      <w:pPr>
        <w:jc w:val="both"/>
        <w:rPr>
          <w:rFonts w:ascii="Garamond" w:hAnsi="Garamond" w:cs="Arial"/>
          <w:b/>
          <w:sz w:val="24"/>
          <w:szCs w:val="24"/>
          <w:lang w:val="pt-PT"/>
        </w:rPr>
      </w:pPr>
      <w:r w:rsidRPr="00706E4B">
        <w:rPr>
          <w:rFonts w:ascii="Garamond" w:hAnsi="Garamond" w:cs="Arial"/>
          <w:b/>
          <w:bCs/>
          <w:sz w:val="24"/>
          <w:szCs w:val="24"/>
          <w:lang w:val="pt-PT"/>
        </w:rPr>
        <w:t>Revis</w:t>
      </w:r>
      <w:r w:rsidR="00FF40A3" w:rsidRPr="00706E4B">
        <w:rPr>
          <w:rFonts w:ascii="Garamond" w:hAnsi="Garamond" w:cs="Arial"/>
          <w:b/>
          <w:bCs/>
          <w:sz w:val="24"/>
          <w:szCs w:val="24"/>
          <w:lang w:val="pt-PT"/>
        </w:rPr>
        <w:t>ó</w:t>
      </w:r>
      <w:r w:rsidRPr="00706E4B">
        <w:rPr>
          <w:rFonts w:ascii="Garamond" w:hAnsi="Garamond" w:cs="Arial"/>
          <w:b/>
          <w:bCs/>
          <w:sz w:val="24"/>
          <w:szCs w:val="24"/>
          <w:lang w:val="pt-PT"/>
        </w:rPr>
        <w:t>:</w:t>
      </w:r>
      <w:r w:rsidRPr="00706E4B">
        <w:rPr>
          <w:rFonts w:ascii="Garamond" w:hAnsi="Garamond" w:cs="Arial"/>
          <w:sz w:val="24"/>
          <w:szCs w:val="24"/>
          <w:lang w:val="pt-PT"/>
        </w:rPr>
        <w:t xml:space="preserve"> Maria Paula Alarcon Motta CPS-147 – 2025 Contratista FDLCB </w:t>
      </w:r>
    </w:p>
    <w:p w14:paraId="673D7571" w14:textId="77777777" w:rsidR="00070578" w:rsidRPr="00706E4B" w:rsidRDefault="00070578" w:rsidP="00FE0D26">
      <w:pPr>
        <w:jc w:val="both"/>
        <w:rPr>
          <w:rFonts w:ascii="Garamond" w:hAnsi="Garamond" w:cs="Arial"/>
          <w:sz w:val="24"/>
          <w:szCs w:val="24"/>
          <w:lang w:val="pt-PT"/>
        </w:rPr>
      </w:pPr>
    </w:p>
    <w:p w14:paraId="2A64C871" w14:textId="31B28DFF" w:rsidR="000914F7" w:rsidRPr="00706E4B" w:rsidRDefault="00D21A03" w:rsidP="00FE0D26">
      <w:pPr>
        <w:jc w:val="both"/>
        <w:rPr>
          <w:rFonts w:ascii="Garamond" w:hAnsi="Garamond" w:cs="Segoe UI"/>
          <w:b/>
          <w:bCs/>
          <w:color w:val="000000"/>
          <w:sz w:val="24"/>
          <w:szCs w:val="24"/>
          <w:lang w:val="pt-PT" w:eastAsia="es-CO"/>
        </w:rPr>
      </w:pPr>
      <w:r w:rsidRPr="00706E4B">
        <w:rPr>
          <w:rFonts w:ascii="Garamond" w:hAnsi="Garamond" w:cs="Segoe UI"/>
          <w:b/>
          <w:bCs/>
          <w:color w:val="000000"/>
          <w:sz w:val="24"/>
          <w:szCs w:val="24"/>
          <w:lang w:val="pt-PT" w:eastAsia="es-CO"/>
        </w:rPr>
        <w:t xml:space="preserve"> </w:t>
      </w:r>
    </w:p>
    <w:sectPr w:rsidR="000914F7" w:rsidRPr="00706E4B" w:rsidSect="00660B7E">
      <w:headerReference w:type="even" r:id="rId48"/>
      <w:headerReference w:type="default" r:id="rId49"/>
      <w:footerReference w:type="default" r:id="rId50"/>
      <w:pgSz w:w="12242" w:h="15842" w:code="1"/>
      <w:pgMar w:top="1701" w:right="1418" w:bottom="1134" w:left="1701" w:header="720" w:footer="284"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 w:author="Edith Johana Roa Gutierrez" w:date="2026-07-29T07:45:00Z" w:initials="EJRG">
    <w:p w14:paraId="3DE3312C" w14:textId="42815194" w:rsidR="00A06C84" w:rsidRDefault="00A06C84">
      <w:pPr>
        <w:pStyle w:val="Textocomentario"/>
      </w:pPr>
      <w:r>
        <w:rPr>
          <w:rStyle w:val="Refdecomentario"/>
        </w:rPr>
        <w:annotationRef/>
      </w:r>
      <w:r>
        <w:rPr>
          <w:rStyle w:val="Refdecomentario"/>
        </w:rPr>
        <w:t>Por favor incluir el valor y si fue con Asojuntas manifestarlo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DE3312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142E16" w16cex:dateUtc="2026-07-29T12: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DE3312C" w16cid:durableId="2E142E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CFA1C5" w14:textId="77777777" w:rsidR="00EA2778" w:rsidRDefault="00EA2778">
      <w:r>
        <w:separator/>
      </w:r>
    </w:p>
  </w:endnote>
  <w:endnote w:type="continuationSeparator" w:id="0">
    <w:p w14:paraId="499E61F7" w14:textId="77777777" w:rsidR="00EA2778" w:rsidRDefault="00EA27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MT">
    <w:altName w:val="Arial"/>
    <w:charset w:val="01"/>
    <w:family w:val="swiss"/>
    <w:pitch w:val="variable"/>
  </w:font>
  <w:font w:name="Calibri Light">
    <w:panose1 w:val="020F0302020204030204"/>
    <w:charset w:val="00"/>
    <w:family w:val="swiss"/>
    <w:pitch w:val="variable"/>
    <w:sig w:usb0="E4002EFF" w:usb1="C200247B" w:usb2="00000009" w:usb3="00000000" w:csb0="000001FF" w:csb1="00000000"/>
  </w:font>
  <w:font w:name="Droid Sans">
    <w:charset w:val="00"/>
    <w:family w:val="roman"/>
    <w:pitch w:val="default"/>
  </w:font>
  <w:font w:name="Arial Nova">
    <w:charset w:val="00"/>
    <w:family w:val="swiss"/>
    <w:pitch w:val="variable"/>
    <w:sig w:usb0="0000028F" w:usb1="00000002" w:usb2="00000000" w:usb3="00000000" w:csb0="0000019F" w:csb1="00000000"/>
  </w:font>
  <w:font w:name="Segoe UI">
    <w:panose1 w:val="020B0502040204020203"/>
    <w:charset w:val="00"/>
    <w:family w:val="swiss"/>
    <w:pitch w:val="variable"/>
    <w:sig w:usb0="E4002EFF" w:usb1="C000E47F" w:usb2="00000009" w:usb3="00000000" w:csb0="000001FF" w:csb1="00000000"/>
  </w:font>
  <w:font w:name="Lohit Hindi">
    <w:altName w:val="Cambria"/>
    <w:panose1 w:val="00000000000000000000"/>
    <w:charset w:val="00"/>
    <w:family w:val="roman"/>
    <w:notTrueType/>
    <w:pitch w:val="default"/>
  </w:font>
  <w:font w:name="Open Sans">
    <w:charset w:val="00"/>
    <w:family w:val="swiss"/>
    <w:pitch w:val="variable"/>
    <w:sig w:usb0="E00002EF" w:usb1="4000205B" w:usb2="00000028"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D1C68" w14:textId="77777777" w:rsidR="00993EBD" w:rsidRDefault="00993EBD" w:rsidP="00B916B8"/>
  <w:p w14:paraId="42E79BB2" w14:textId="77777777" w:rsidR="00993EBD" w:rsidRPr="009F59F0" w:rsidRDefault="00993EBD" w:rsidP="009F59F0">
    <w:pPr>
      <w:pStyle w:val="Piedepgina"/>
      <w:jc w:val="center"/>
      <w:rPr>
        <w:rFonts w:ascii="Tahoma" w:hAnsi="Tahoma" w:cs="Tahoma"/>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F7F06F" w14:textId="77777777" w:rsidR="00EA2778" w:rsidRDefault="00EA2778">
      <w:r>
        <w:separator/>
      </w:r>
    </w:p>
  </w:footnote>
  <w:footnote w:type="continuationSeparator" w:id="0">
    <w:p w14:paraId="01402B3F" w14:textId="77777777" w:rsidR="00EA2778" w:rsidRDefault="00EA2778">
      <w:r>
        <w:continuationSeparator/>
      </w:r>
    </w:p>
  </w:footnote>
  <w:footnote w:id="1">
    <w:p w14:paraId="540BE19C" w14:textId="77777777" w:rsidR="00267731" w:rsidRDefault="00267731" w:rsidP="00267731">
      <w:pPr>
        <w:pStyle w:val="Textonotapie"/>
      </w:pPr>
      <w:r>
        <w:rPr>
          <w:rStyle w:val="Refdenotaalpie"/>
        </w:rPr>
        <w:footnoteRef/>
      </w:r>
      <w:r>
        <w:t xml:space="preserve"> </w:t>
      </w:r>
      <w:hyperlink r:id="rId1" w:history="1">
        <w:r w:rsidRPr="00D8477D">
          <w:rPr>
            <w:rStyle w:val="Hipervnculo"/>
          </w:rPr>
          <w:t>https://www.oecd.org/en/publications/oecd-economic-outlook-volume-2025-issue-1_83363382-en/full-report/colombia_742ba6d2.html</w:t>
        </w:r>
      </w:hyperlink>
    </w:p>
    <w:p w14:paraId="66DAEED1" w14:textId="77777777" w:rsidR="00267731" w:rsidRDefault="00267731" w:rsidP="00267731">
      <w:pPr>
        <w:pStyle w:val="Textonotapie"/>
      </w:pPr>
      <w:r>
        <w:rPr>
          <w:rStyle w:val="Refdenotaalpie"/>
        </w:rPr>
        <w:t>2</w:t>
      </w:r>
      <w:r w:rsidRPr="00CC5F6F">
        <w:t>https://www.dane.gov.co/files/operaciones/IPC/nov2025/bol-IPC-nov2025.pdf</w:t>
      </w:r>
    </w:p>
  </w:footnote>
  <w:footnote w:id="2">
    <w:p w14:paraId="7808BD43" w14:textId="77777777" w:rsidR="00267731" w:rsidRDefault="00267731" w:rsidP="00267731">
      <w:pPr>
        <w:pStyle w:val="Textonotapie"/>
      </w:pPr>
    </w:p>
    <w:p w14:paraId="02519E6B" w14:textId="77777777" w:rsidR="00267731" w:rsidRDefault="00267731" w:rsidP="00267731">
      <w:pPr>
        <w:pStyle w:val="Textonotapie"/>
      </w:pPr>
    </w:p>
  </w:footnote>
  <w:footnote w:id="3">
    <w:p w14:paraId="103711B7" w14:textId="77777777" w:rsidR="00267731" w:rsidRDefault="00267731" w:rsidP="00267731">
      <w:pPr>
        <w:pStyle w:val="Textonotapie"/>
      </w:pPr>
      <w:r>
        <w:rPr>
          <w:rStyle w:val="Refdenotaalpie"/>
        </w:rPr>
        <w:footnoteRef/>
      </w:r>
      <w:r>
        <w:t xml:space="preserve"> </w:t>
      </w:r>
    </w:p>
    <w:p w14:paraId="2BAF5EB8" w14:textId="77777777" w:rsidR="00267731" w:rsidRDefault="00267731" w:rsidP="00267731">
      <w:pPr>
        <w:pStyle w:val="Textonotapie"/>
      </w:pPr>
      <w:r w:rsidRPr="00CC5F6F">
        <w:t>https://www.dane.gov.co/files/operaciones/IPC/nov2025/bol-IPC-nov2025.pdf</w:t>
      </w:r>
    </w:p>
  </w:footnote>
  <w:footnote w:id="4">
    <w:p w14:paraId="01D17D08" w14:textId="77777777" w:rsidR="00267731" w:rsidRDefault="00267731" w:rsidP="00267731">
      <w:pPr>
        <w:pBdr>
          <w:top w:val="nil"/>
          <w:left w:val="nil"/>
          <w:bottom w:val="nil"/>
          <w:right w:val="nil"/>
          <w:between w:val="nil"/>
        </w:pBdr>
        <w:spacing w:line="216" w:lineRule="auto"/>
        <w:ind w:right="4"/>
        <w:rPr>
          <w:rFonts w:ascii="Calibri" w:eastAsia="Calibri" w:hAnsi="Calibri" w:cs="Calibri"/>
          <w:color w:val="000000"/>
          <w:sz w:val="14"/>
          <w:szCs w:val="14"/>
        </w:rPr>
      </w:pPr>
      <w:r>
        <w:rPr>
          <w:vertAlign w:val="superscript"/>
        </w:rPr>
        <w:footnoteRef/>
      </w:r>
      <w:r>
        <w:rPr>
          <w:rFonts w:ascii="Calibri" w:eastAsia="Calibri" w:hAnsi="Calibri" w:cs="Calibri"/>
          <w:color w:val="000000"/>
          <w:sz w:val="14"/>
          <w:szCs w:val="14"/>
        </w:rPr>
        <w:t xml:space="preserve"> https://www.dane.gov.co/index.php/estadisticas-por-tema/cuentas-nacionales/cuentas-nacionales-trimestrales/pib-informacion-tecnica</w:t>
      </w:r>
    </w:p>
    <w:p w14:paraId="5CB65A9F" w14:textId="77777777" w:rsidR="00267731" w:rsidRDefault="00267731" w:rsidP="00267731"/>
  </w:footnote>
  <w:footnote w:id="5">
    <w:p w14:paraId="3FC1ACCE" w14:textId="77777777" w:rsidR="003E1ED2" w:rsidRDefault="003E1ED2" w:rsidP="003E1ED2">
      <w:pPr>
        <w:pStyle w:val="Textonotapie"/>
      </w:pPr>
      <w:r>
        <w:rPr>
          <w:rStyle w:val="Refdenotaalpie"/>
        </w:rPr>
        <w:footnoteRef/>
      </w:r>
      <w:r>
        <w:t xml:space="preserve"> </w:t>
      </w:r>
      <w:r w:rsidRPr="00D667D2">
        <w:t>https://www.dane.gov.co/files/operaciones/EMS/bol-EMS-oct2025.pdf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22E0CC" w14:textId="77777777" w:rsidR="00993EBD" w:rsidRDefault="00993EBD">
    <w:pPr>
      <w:pStyle w:val="Encabezado"/>
    </w:pPr>
    <w:r>
      <w:rPr>
        <w:noProof/>
        <w:lang w:val="en-US" w:eastAsia="en-US"/>
      </w:rPr>
      <mc:AlternateContent>
        <mc:Choice Requires="wps">
          <w:drawing>
            <wp:anchor distT="0" distB="0" distL="114300" distR="114300" simplePos="0" relativeHeight="251656704" behindDoc="0" locked="0" layoutInCell="0" allowOverlap="1" wp14:anchorId="51A0CDE8" wp14:editId="3041F0DA">
              <wp:simplePos x="0" y="0"/>
              <wp:positionH relativeFrom="column">
                <wp:posOffset>2834640</wp:posOffset>
              </wp:positionH>
              <wp:positionV relativeFrom="paragraph">
                <wp:posOffset>1371600</wp:posOffset>
              </wp:positionV>
              <wp:extent cx="1828800" cy="0"/>
              <wp:effectExtent l="5715" t="9525" r="13335" b="9525"/>
              <wp:wrapNone/>
              <wp:docPr id="1"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line w14:anchorId="251174D1" id="Line 5"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2pt,108pt" to="367.2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" o:allowincell="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044"/>
      <w:gridCol w:w="3417"/>
      <w:gridCol w:w="2670"/>
    </w:tblGrid>
    <w:tr w:rsidR="00993EBD" w:rsidRPr="000C4C1D" w14:paraId="6A21F8C3" w14:textId="77777777" w:rsidTr="00E2004B">
      <w:trPr>
        <w:trHeight w:val="779"/>
      </w:trPr>
      <w:tc>
        <w:tcPr>
          <w:tcW w:w="3044" w:type="dxa"/>
        </w:tcPr>
        <w:p w14:paraId="17A494A3" w14:textId="77777777" w:rsidR="00993EBD" w:rsidRPr="000C4C1D" w:rsidRDefault="00993EBD" w:rsidP="00BB1CD2">
          <w:pPr>
            <w:pStyle w:val="Textonotaalfinal"/>
            <w:ind w:left="-115"/>
          </w:pPr>
          <w:r w:rsidRPr="000C4C1D">
            <w:rPr>
              <w:noProof/>
              <w:lang w:val="en-US" w:eastAsia="en-US"/>
            </w:rPr>
            <w:drawing>
              <wp:anchor distT="0" distB="0" distL="114300" distR="114300" simplePos="0" relativeHeight="251657728" behindDoc="0" locked="0" layoutInCell="1" allowOverlap="1" wp14:anchorId="3451334C" wp14:editId="2A29B803">
                <wp:simplePos x="0" y="0"/>
                <wp:positionH relativeFrom="column">
                  <wp:posOffset>413385</wp:posOffset>
                </wp:positionH>
                <wp:positionV relativeFrom="paragraph">
                  <wp:posOffset>81280</wp:posOffset>
                </wp:positionV>
                <wp:extent cx="713605" cy="623521"/>
                <wp:effectExtent l="0" t="0" r="0" b="5715"/>
                <wp:wrapNone/>
                <wp:docPr id="1329036024" name="Imagen 1329036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cstate="print">
                          <a:extLst>
                            <a:ext uri="{28A0092B-C50C-407E-A947-70E740481C1C}">
                              <a14:useLocalDpi xmlns:a14="http://schemas.microsoft.com/office/drawing/2010/main" val="0"/>
                            </a:ext>
                          </a:extLst>
                        </a:blip>
                        <a:srcRect r="63144"/>
                        <a:stretch>
                          <a:fillRect/>
                        </a:stretch>
                      </pic:blipFill>
                      <pic:spPr>
                        <a:xfrm>
                          <a:off x="0" y="0"/>
                          <a:ext cx="713605" cy="623521"/>
                        </a:xfrm>
                        <a:prstGeom prst="rect">
                          <a:avLst/>
                        </a:prstGeom>
                      </pic:spPr>
                    </pic:pic>
                  </a:graphicData>
                </a:graphic>
                <wp14:sizeRelH relativeFrom="page">
                  <wp14:pctWidth>0</wp14:pctWidth>
                </wp14:sizeRelH>
                <wp14:sizeRelV relativeFrom="page">
                  <wp14:pctHeight>0</wp14:pctHeight>
                </wp14:sizeRelV>
              </wp:anchor>
            </w:drawing>
          </w:r>
        </w:p>
      </w:tc>
      <w:tc>
        <w:tcPr>
          <w:tcW w:w="3417" w:type="dxa"/>
        </w:tcPr>
        <w:p w14:paraId="1FE6F7BA" w14:textId="77777777" w:rsidR="00993EBD" w:rsidRDefault="00993EBD" w:rsidP="00BB1CD2">
          <w:pPr>
            <w:pStyle w:val="Textonotaalfinal"/>
            <w:jc w:val="center"/>
            <w:rPr>
              <w:rFonts w:ascii="Arial Narrow" w:hAnsi="Arial Narrow"/>
              <w:b/>
              <w:bCs/>
              <w:sz w:val="22"/>
              <w:szCs w:val="22"/>
            </w:rPr>
          </w:pPr>
        </w:p>
        <w:p w14:paraId="7ABA4B1F" w14:textId="77777777" w:rsidR="00993EBD" w:rsidRDefault="00993EBD" w:rsidP="00BB1CD2">
          <w:pPr>
            <w:pStyle w:val="Textonotaalfinal"/>
            <w:jc w:val="center"/>
            <w:rPr>
              <w:rFonts w:ascii="Arial Narrow" w:hAnsi="Arial Narrow"/>
              <w:b/>
              <w:bCs/>
              <w:sz w:val="22"/>
              <w:szCs w:val="22"/>
            </w:rPr>
          </w:pPr>
        </w:p>
        <w:p w14:paraId="57E0D913" w14:textId="77777777" w:rsidR="00993EBD" w:rsidRDefault="00993EBD" w:rsidP="00BB1CD2">
          <w:pPr>
            <w:pStyle w:val="Textonotaalfinal"/>
            <w:jc w:val="center"/>
            <w:rPr>
              <w:rFonts w:ascii="Arial Narrow" w:hAnsi="Arial Narrow"/>
              <w:b/>
              <w:bCs/>
              <w:sz w:val="22"/>
              <w:szCs w:val="22"/>
            </w:rPr>
          </w:pPr>
          <w:r w:rsidRPr="000C4C1D">
            <w:rPr>
              <w:rFonts w:ascii="Arial Narrow" w:hAnsi="Arial Narrow"/>
              <w:b/>
              <w:bCs/>
              <w:sz w:val="22"/>
              <w:szCs w:val="22"/>
            </w:rPr>
            <w:t xml:space="preserve">ALCALDÍA LOCAL DE </w:t>
          </w:r>
          <w:r>
            <w:rPr>
              <w:rFonts w:ascii="Arial Narrow" w:hAnsi="Arial Narrow"/>
              <w:b/>
              <w:bCs/>
              <w:sz w:val="22"/>
              <w:szCs w:val="22"/>
            </w:rPr>
            <w:t xml:space="preserve">CIUDAD BOLÍVAR </w:t>
          </w:r>
        </w:p>
        <w:p w14:paraId="67F48EA2" w14:textId="77777777" w:rsidR="00993EBD" w:rsidRDefault="00993EBD" w:rsidP="00BB1CD2">
          <w:pPr>
            <w:pStyle w:val="Textonotaalfinal"/>
            <w:jc w:val="center"/>
            <w:rPr>
              <w:rFonts w:ascii="Arial Narrow" w:hAnsi="Arial Narrow"/>
              <w:b/>
              <w:bCs/>
              <w:sz w:val="22"/>
              <w:szCs w:val="22"/>
            </w:rPr>
          </w:pPr>
        </w:p>
        <w:p w14:paraId="2C10C9CD" w14:textId="77777777" w:rsidR="00993EBD" w:rsidRPr="000C4C1D" w:rsidRDefault="00993EBD" w:rsidP="00BB1CD2">
          <w:pPr>
            <w:pStyle w:val="Textonotaalfinal"/>
            <w:jc w:val="center"/>
            <w:rPr>
              <w:rFonts w:ascii="Arial Narrow" w:hAnsi="Arial Narrow"/>
              <w:b/>
              <w:bCs/>
              <w:sz w:val="22"/>
              <w:szCs w:val="22"/>
            </w:rPr>
          </w:pPr>
          <w:r>
            <w:rPr>
              <w:rFonts w:ascii="Arial Narrow" w:hAnsi="Arial Narrow"/>
              <w:b/>
              <w:bCs/>
              <w:sz w:val="22"/>
              <w:szCs w:val="22"/>
            </w:rPr>
            <w:t>ESTUDIO DE SECTOR</w:t>
          </w:r>
        </w:p>
        <w:p w14:paraId="1B1A74FF" w14:textId="77777777" w:rsidR="00993EBD" w:rsidRPr="000C4C1D" w:rsidRDefault="00993EBD" w:rsidP="00BB1CD2">
          <w:pPr>
            <w:pStyle w:val="Textonotaalfinal"/>
            <w:jc w:val="center"/>
            <w:rPr>
              <w:lang w:val="es-AR"/>
            </w:rPr>
          </w:pPr>
        </w:p>
      </w:tc>
      <w:tc>
        <w:tcPr>
          <w:tcW w:w="2670" w:type="dxa"/>
        </w:tcPr>
        <w:p w14:paraId="610724F7" w14:textId="77777777" w:rsidR="00993EBD" w:rsidRPr="000C4C1D" w:rsidRDefault="00993EBD" w:rsidP="00BB1CD2">
          <w:pPr>
            <w:pStyle w:val="Textonotaalfinal"/>
            <w:ind w:right="-115"/>
            <w:jc w:val="right"/>
          </w:pPr>
          <w:r w:rsidRPr="000C4C1D">
            <w:rPr>
              <w:noProof/>
              <w:lang w:val="en-US" w:eastAsia="en-US"/>
            </w:rPr>
            <w:drawing>
              <wp:anchor distT="0" distB="0" distL="114300" distR="114300" simplePos="0" relativeHeight="251658752" behindDoc="0" locked="0" layoutInCell="1" allowOverlap="1" wp14:anchorId="1D8516EB" wp14:editId="15CD0852">
                <wp:simplePos x="0" y="0"/>
                <wp:positionH relativeFrom="column">
                  <wp:posOffset>112395</wp:posOffset>
                </wp:positionH>
                <wp:positionV relativeFrom="paragraph">
                  <wp:posOffset>104775</wp:posOffset>
                </wp:positionV>
                <wp:extent cx="1139406" cy="621196"/>
                <wp:effectExtent l="0" t="0" r="3810" b="7620"/>
                <wp:wrapSquare wrapText="bothSides"/>
                <wp:docPr id="1513979891" name="Imagen 1513979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cstate="print">
                          <a:extLst>
                            <a:ext uri="{28A0092B-C50C-407E-A947-70E740481C1C}">
                              <a14:useLocalDpi xmlns:a14="http://schemas.microsoft.com/office/drawing/2010/main" val="0"/>
                            </a:ext>
                          </a:extLst>
                        </a:blip>
                        <a:srcRect l="40512"/>
                        <a:stretch>
                          <a:fillRect/>
                        </a:stretch>
                      </pic:blipFill>
                      <pic:spPr>
                        <a:xfrm>
                          <a:off x="0" y="0"/>
                          <a:ext cx="1139406" cy="621196"/>
                        </a:xfrm>
                        <a:prstGeom prst="rect">
                          <a:avLst/>
                        </a:prstGeom>
                      </pic:spPr>
                    </pic:pic>
                  </a:graphicData>
                </a:graphic>
              </wp:anchor>
            </w:drawing>
          </w:r>
        </w:p>
      </w:tc>
    </w:tr>
  </w:tbl>
  <w:p w14:paraId="2706DDC2" w14:textId="7030B535" w:rsidR="00993EBD" w:rsidRPr="00B127DF" w:rsidRDefault="00993EBD" w:rsidP="00B127DF">
    <w:pPr>
      <w:pStyle w:val="Encabezado"/>
      <w:jc w:val="center"/>
    </w:pPr>
  </w:p>
  <w:p w14:paraId="4D761CB3" w14:textId="77777777" w:rsidR="00993EBD" w:rsidRPr="007952D4" w:rsidRDefault="00993EBD" w:rsidP="0021603F">
    <w:pPr>
      <w:pStyle w:val="Encabezado"/>
      <w:rPr>
        <w:rFonts w:ascii="Arial" w:hAnsi="Arial" w:cs="Arial"/>
        <w:sz w:val="24"/>
        <w:szCs w:val="24"/>
        <w:lang w:val="es-E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E14F4"/>
    <w:multiLevelType w:val="multilevel"/>
    <w:tmpl w:val="2AE2A83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334C02"/>
    <w:multiLevelType w:val="multilevel"/>
    <w:tmpl w:val="4EF0A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9D56A2"/>
    <w:multiLevelType w:val="multilevel"/>
    <w:tmpl w:val="8CB2008A"/>
    <w:lvl w:ilvl="0">
      <w:start w:val="1"/>
      <w:numFmt w:val="decimal"/>
      <w:lvlText w:val="%1."/>
      <w:lvlJc w:val="left"/>
      <w:pPr>
        <w:ind w:left="360" w:hanging="360"/>
      </w:pPr>
      <w:rPr>
        <w:rFonts w:hint="default"/>
        <w:b/>
      </w:rPr>
    </w:lvl>
    <w:lvl w:ilvl="1">
      <w:start w:val="2"/>
      <w:numFmt w:val="decimal"/>
      <w:lvlText w:val="%1.%2."/>
      <w:lvlJc w:val="left"/>
      <w:pPr>
        <w:ind w:left="1065" w:hanging="360"/>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3" w15:restartNumberingAfterBreak="0">
    <w:nsid w:val="0DDD7FF1"/>
    <w:multiLevelType w:val="multilevel"/>
    <w:tmpl w:val="16AE601E"/>
    <w:lvl w:ilvl="0">
      <w:start w:val="3"/>
      <w:numFmt w:val="decimal"/>
      <w:lvlText w:val="%1."/>
      <w:lvlJc w:val="left"/>
      <w:pPr>
        <w:ind w:left="360" w:hanging="360"/>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4" w15:restartNumberingAfterBreak="0">
    <w:nsid w:val="1B7F0DD3"/>
    <w:multiLevelType w:val="hybridMultilevel"/>
    <w:tmpl w:val="24AEB160"/>
    <w:lvl w:ilvl="0" w:tplc="E46EF1CE">
      <w:numFmt w:val="bullet"/>
      <w:lvlText w:val=""/>
      <w:lvlJc w:val="left"/>
      <w:pPr>
        <w:ind w:left="720" w:hanging="360"/>
      </w:pPr>
      <w:rPr>
        <w:rFonts w:ascii="Symbol" w:eastAsia="Times New Roman"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2E723A3"/>
    <w:multiLevelType w:val="hybridMultilevel"/>
    <w:tmpl w:val="0B1A3176"/>
    <w:lvl w:ilvl="0" w:tplc="080A0001">
      <w:start w:val="1"/>
      <w:numFmt w:val="bullet"/>
      <w:lvlText w:val=""/>
      <w:lvlJc w:val="left"/>
      <w:pPr>
        <w:ind w:left="842" w:hanging="360"/>
      </w:pPr>
      <w:rPr>
        <w:rFonts w:ascii="Symbol" w:hAnsi="Symbol" w:hint="default"/>
        <w:w w:val="100"/>
        <w:sz w:val="22"/>
        <w:szCs w:val="22"/>
        <w:lang w:val="es-ES" w:eastAsia="en-US" w:bidi="ar-SA"/>
      </w:rPr>
    </w:lvl>
    <w:lvl w:ilvl="1" w:tplc="DF6845BC">
      <w:numFmt w:val="bullet"/>
      <w:lvlText w:val="•"/>
      <w:lvlJc w:val="left"/>
      <w:pPr>
        <w:ind w:left="1732" w:hanging="360"/>
      </w:pPr>
      <w:rPr>
        <w:rFonts w:hint="default"/>
        <w:lang w:val="es-ES" w:eastAsia="en-US" w:bidi="ar-SA"/>
      </w:rPr>
    </w:lvl>
    <w:lvl w:ilvl="2" w:tplc="B8FAC694">
      <w:numFmt w:val="bullet"/>
      <w:lvlText w:val="•"/>
      <w:lvlJc w:val="left"/>
      <w:pPr>
        <w:ind w:left="2624" w:hanging="360"/>
      </w:pPr>
      <w:rPr>
        <w:rFonts w:hint="default"/>
        <w:lang w:val="es-ES" w:eastAsia="en-US" w:bidi="ar-SA"/>
      </w:rPr>
    </w:lvl>
    <w:lvl w:ilvl="3" w:tplc="98904624">
      <w:numFmt w:val="bullet"/>
      <w:lvlText w:val="•"/>
      <w:lvlJc w:val="left"/>
      <w:pPr>
        <w:ind w:left="3516" w:hanging="360"/>
      </w:pPr>
      <w:rPr>
        <w:rFonts w:hint="default"/>
        <w:lang w:val="es-ES" w:eastAsia="en-US" w:bidi="ar-SA"/>
      </w:rPr>
    </w:lvl>
    <w:lvl w:ilvl="4" w:tplc="472487FA">
      <w:numFmt w:val="bullet"/>
      <w:lvlText w:val="•"/>
      <w:lvlJc w:val="left"/>
      <w:pPr>
        <w:ind w:left="4408" w:hanging="360"/>
      </w:pPr>
      <w:rPr>
        <w:rFonts w:hint="default"/>
        <w:lang w:val="es-ES" w:eastAsia="en-US" w:bidi="ar-SA"/>
      </w:rPr>
    </w:lvl>
    <w:lvl w:ilvl="5" w:tplc="03624090">
      <w:numFmt w:val="bullet"/>
      <w:lvlText w:val="•"/>
      <w:lvlJc w:val="left"/>
      <w:pPr>
        <w:ind w:left="5300" w:hanging="360"/>
      </w:pPr>
      <w:rPr>
        <w:rFonts w:hint="default"/>
        <w:lang w:val="es-ES" w:eastAsia="en-US" w:bidi="ar-SA"/>
      </w:rPr>
    </w:lvl>
    <w:lvl w:ilvl="6" w:tplc="2CC008BE">
      <w:numFmt w:val="bullet"/>
      <w:lvlText w:val="•"/>
      <w:lvlJc w:val="left"/>
      <w:pPr>
        <w:ind w:left="6192" w:hanging="360"/>
      </w:pPr>
      <w:rPr>
        <w:rFonts w:hint="default"/>
        <w:lang w:val="es-ES" w:eastAsia="en-US" w:bidi="ar-SA"/>
      </w:rPr>
    </w:lvl>
    <w:lvl w:ilvl="7" w:tplc="9CC0D884">
      <w:numFmt w:val="bullet"/>
      <w:lvlText w:val="•"/>
      <w:lvlJc w:val="left"/>
      <w:pPr>
        <w:ind w:left="7084" w:hanging="360"/>
      </w:pPr>
      <w:rPr>
        <w:rFonts w:hint="default"/>
        <w:lang w:val="es-ES" w:eastAsia="en-US" w:bidi="ar-SA"/>
      </w:rPr>
    </w:lvl>
    <w:lvl w:ilvl="8" w:tplc="D04EB83C">
      <w:numFmt w:val="bullet"/>
      <w:lvlText w:val="•"/>
      <w:lvlJc w:val="left"/>
      <w:pPr>
        <w:ind w:left="7976" w:hanging="360"/>
      </w:pPr>
      <w:rPr>
        <w:rFonts w:hint="default"/>
        <w:lang w:val="es-ES" w:eastAsia="en-US" w:bidi="ar-SA"/>
      </w:rPr>
    </w:lvl>
  </w:abstractNum>
  <w:abstractNum w:abstractNumId="6" w15:restartNumberingAfterBreak="0">
    <w:nsid w:val="2D956B48"/>
    <w:multiLevelType w:val="hybridMultilevel"/>
    <w:tmpl w:val="79261A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4864313"/>
    <w:multiLevelType w:val="hybridMultilevel"/>
    <w:tmpl w:val="AC9A0078"/>
    <w:lvl w:ilvl="0" w:tplc="672A32B6">
      <w:start w:val="1"/>
      <w:numFmt w:val="decimal"/>
      <w:lvlText w:val="%1."/>
      <w:lvlJc w:val="left"/>
      <w:pPr>
        <w:ind w:left="720" w:hanging="360"/>
      </w:pPr>
      <w:rPr>
        <w:rFonts w:ascii="Garamond" w:eastAsia="Arial" w:hAnsi="Garamond" w:cs="Arial"/>
        <w:b/>
      </w:rPr>
    </w:lvl>
    <w:lvl w:ilvl="1" w:tplc="82883278">
      <w:numFmt w:val="bullet"/>
      <w:lvlText w:val="•"/>
      <w:lvlJc w:val="left"/>
      <w:pPr>
        <w:ind w:left="1440" w:hanging="360"/>
      </w:pPr>
      <w:rPr>
        <w:rFonts w:ascii="Garamond" w:eastAsia="Times New Roman" w:hAnsi="Garamond" w:cs="Times New Roman"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A731008"/>
    <w:multiLevelType w:val="multilevel"/>
    <w:tmpl w:val="48CAD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AB16041"/>
    <w:multiLevelType w:val="multilevel"/>
    <w:tmpl w:val="C4903BBA"/>
    <w:lvl w:ilvl="0">
      <w:start w:val="3"/>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4FF536D8"/>
    <w:multiLevelType w:val="hybridMultilevel"/>
    <w:tmpl w:val="6FDCB07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51C827F3"/>
    <w:multiLevelType w:val="multilevel"/>
    <w:tmpl w:val="9B743908"/>
    <w:lvl w:ilvl="0">
      <w:start w:val="3"/>
      <w:numFmt w:val="decimal"/>
      <w:lvlText w:val="%1."/>
      <w:lvlJc w:val="left"/>
      <w:pPr>
        <w:ind w:left="360" w:hanging="360"/>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2" w15:restartNumberingAfterBreak="0">
    <w:nsid w:val="5D6536A5"/>
    <w:multiLevelType w:val="multilevel"/>
    <w:tmpl w:val="3782046C"/>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5DDB6BDB"/>
    <w:multiLevelType w:val="multilevel"/>
    <w:tmpl w:val="E38E547A"/>
    <w:lvl w:ilvl="0">
      <w:start w:val="2"/>
      <w:numFmt w:val="decimal"/>
      <w:lvlText w:val="%1."/>
      <w:lvlJc w:val="left"/>
      <w:pPr>
        <w:ind w:left="540" w:hanging="540"/>
      </w:pPr>
      <w:rPr>
        <w:rFonts w:hint="default"/>
      </w:rPr>
    </w:lvl>
    <w:lvl w:ilvl="1">
      <w:start w:val="7"/>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71D55A12"/>
    <w:multiLevelType w:val="multilevel"/>
    <w:tmpl w:val="4B486F5E"/>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759B1583"/>
    <w:multiLevelType w:val="multilevel"/>
    <w:tmpl w:val="13A60ECA"/>
    <w:lvl w:ilvl="0">
      <w:numFmt w:val="bullet"/>
      <w:lvlText w:val="-"/>
      <w:lvlJc w:val="left"/>
      <w:pPr>
        <w:ind w:left="720" w:hanging="360"/>
      </w:pPr>
      <w:rPr>
        <w:rFonts w:ascii="Arial" w:eastAsia="Calibri" w:hAnsi="Arial" w:cs="Arial" w:hint="default"/>
        <w:color w:val="auto"/>
      </w:rPr>
    </w:lvl>
    <w:lvl w:ilvl="1">
      <w:start w:val="1"/>
      <w:numFmt w:val="bullet"/>
      <w:lvlText w:val="o"/>
      <w:lvlJc w:val="left"/>
      <w:pPr>
        <w:tabs>
          <w:tab w:val="num" w:pos="1440"/>
        </w:tabs>
        <w:ind w:left="1440" w:hanging="360"/>
      </w:pPr>
      <w:rPr>
        <w:rFonts w:ascii="Courier New" w:hAnsi="Courier New" w:hint="default"/>
        <w:sz w:val="20"/>
      </w:rPr>
    </w:lvl>
    <w:lvl w:ilvl="2">
      <w:start w:val="8"/>
      <w:numFmt w:val="decimal"/>
      <w:lvlText w:val="%3."/>
      <w:lvlJc w:val="left"/>
      <w:pPr>
        <w:ind w:left="2160" w:hanging="360"/>
      </w:pPr>
      <w:rPr>
        <w:rFonts w:hint="default"/>
        <w:color w:val="auto"/>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B111313"/>
    <w:multiLevelType w:val="multilevel"/>
    <w:tmpl w:val="ED464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F74623C"/>
    <w:multiLevelType w:val="multilevel"/>
    <w:tmpl w:val="603A181E"/>
    <w:lvl w:ilvl="0">
      <w:start w:val="1"/>
      <w:numFmt w:val="decimal"/>
      <w:pStyle w:val="Estilo1TituloEstudiodelsecto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rPr>
        <w:b/>
        <w:bCs/>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7"/>
  </w:num>
  <w:num w:numId="2">
    <w:abstractNumId w:val="2"/>
  </w:num>
  <w:num w:numId="3">
    <w:abstractNumId w:val="14"/>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3"/>
  </w:num>
  <w:num w:numId="7">
    <w:abstractNumId w:val="9"/>
  </w:num>
  <w:num w:numId="8">
    <w:abstractNumId w:val="15"/>
  </w:num>
  <w:num w:numId="9">
    <w:abstractNumId w:val="4"/>
  </w:num>
  <w:num w:numId="10">
    <w:abstractNumId w:val="12"/>
  </w:num>
  <w:num w:numId="11">
    <w:abstractNumId w:val="0"/>
  </w:num>
  <w:num w:numId="12">
    <w:abstractNumId w:val="1"/>
  </w:num>
  <w:num w:numId="13">
    <w:abstractNumId w:val="13"/>
  </w:num>
  <w:num w:numId="14">
    <w:abstractNumId w:val="8"/>
  </w:num>
  <w:num w:numId="15">
    <w:abstractNumId w:val="16"/>
  </w:num>
  <w:num w:numId="16">
    <w:abstractNumId w:val="6"/>
  </w:num>
  <w:num w:numId="17">
    <w:abstractNumId w:val="17"/>
  </w:num>
  <w:num w:numId="18">
    <w:abstractNumId w:val="5"/>
  </w:num>
  <w:num w:numId="19">
    <w:abstractNumId w:val="11"/>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h Johana Roa Gutierrez">
    <w15:presenceInfo w15:providerId="AD" w15:userId="S::edith.roa@gobiernobogota.gov.co::6ee9f1a7-5081-42e6-bcce-a30c60ed1d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MX" w:vendorID="64" w:dllVersion="6" w:nlCheck="1" w:checkStyle="0"/>
  <w:activeWritingStyle w:appName="MSWord" w:lang="es-CO" w:vendorID="64" w:dllVersion="6" w:nlCheck="1" w:checkStyle="0"/>
  <w:activeWritingStyle w:appName="MSWord" w:lang="es-ES" w:vendorID="64" w:dllVersion="6" w:nlCheck="1" w:checkStyle="0"/>
  <w:activeWritingStyle w:appName="MSWord" w:lang="es-ES_tradnl" w:vendorID="64" w:dllVersion="6" w:nlCheck="1" w:checkStyle="0"/>
  <w:activeWritingStyle w:appName="MSWord" w:lang="es-CO" w:vendorID="64" w:dllVersion="0" w:nlCheck="1" w:checkStyle="0"/>
  <w:activeWritingStyle w:appName="MSWord" w:lang="es-ES" w:vendorID="64" w:dllVersion="0" w:nlCheck="1" w:checkStyle="0"/>
  <w:activeWritingStyle w:appName="MSWord" w:lang="es-MX" w:vendorID="64" w:dllVersion="0" w:nlCheck="1" w:checkStyle="0"/>
  <w:activeWritingStyle w:appName="MSWord" w:lang="en-US" w:vendorID="64" w:dllVersion="6" w:nlCheck="1" w:checkStyle="0"/>
  <w:activeWritingStyle w:appName="MSWord" w:lang="en-US" w:vendorID="64" w:dllVersion="0" w:nlCheck="1" w:checkStyle="0"/>
  <w:activeWritingStyle w:appName="MSWord" w:lang="es-419" w:vendorID="64" w:dllVersion="0" w:nlCheck="1" w:checkStyle="0"/>
  <w:activeWritingStyle w:appName="MSWord" w:lang="es-ES_tradnl" w:vendorID="64" w:dllVersion="0" w:nlCheck="1" w:checkStyle="0"/>
  <w:activeWritingStyle w:appName="MSWord" w:lang="es-CO"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419" w:vendorID="64" w:dllVersion="4096" w:nlCheck="1" w:checkStyle="0"/>
  <w:activeWritingStyle w:appName="MSWord" w:lang="es-419" w:vendorID="64" w:dllVersion="6" w:nlCheck="1" w:checkStyle="0"/>
  <w:activeWritingStyle w:appName="MSWord" w:lang="es-US" w:vendorID="64" w:dllVersion="0" w:nlCheck="1" w:checkStyle="0"/>
  <w:activeWritingStyle w:appName="MSWord" w:lang="es-US" w:vendorID="64" w:dllVersion="4096" w:nlCheck="1" w:checkStyle="0"/>
  <w:activeWritingStyle w:appName="MSWord" w:lang="es-US" w:vendorID="64" w:dllVersion="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3A12"/>
    <w:rsid w:val="000008BE"/>
    <w:rsid w:val="00001913"/>
    <w:rsid w:val="00001B09"/>
    <w:rsid w:val="00001BF0"/>
    <w:rsid w:val="0000336F"/>
    <w:rsid w:val="00003474"/>
    <w:rsid w:val="00004518"/>
    <w:rsid w:val="0000456C"/>
    <w:rsid w:val="000062CC"/>
    <w:rsid w:val="0001013E"/>
    <w:rsid w:val="0001076F"/>
    <w:rsid w:val="00012570"/>
    <w:rsid w:val="00015DD6"/>
    <w:rsid w:val="00016A50"/>
    <w:rsid w:val="00017BBC"/>
    <w:rsid w:val="00020208"/>
    <w:rsid w:val="00020D88"/>
    <w:rsid w:val="00021D09"/>
    <w:rsid w:val="00021E6E"/>
    <w:rsid w:val="000228DD"/>
    <w:rsid w:val="00022B73"/>
    <w:rsid w:val="000238A8"/>
    <w:rsid w:val="000251D0"/>
    <w:rsid w:val="00025E6E"/>
    <w:rsid w:val="0003029E"/>
    <w:rsid w:val="0003455A"/>
    <w:rsid w:val="0003466F"/>
    <w:rsid w:val="00036D63"/>
    <w:rsid w:val="00041D34"/>
    <w:rsid w:val="000424CA"/>
    <w:rsid w:val="00042C3A"/>
    <w:rsid w:val="00043A0C"/>
    <w:rsid w:val="00043FD5"/>
    <w:rsid w:val="000444D8"/>
    <w:rsid w:val="0004591E"/>
    <w:rsid w:val="00046411"/>
    <w:rsid w:val="00047499"/>
    <w:rsid w:val="00047EF1"/>
    <w:rsid w:val="00051716"/>
    <w:rsid w:val="00052144"/>
    <w:rsid w:val="00052E5C"/>
    <w:rsid w:val="00053211"/>
    <w:rsid w:val="00053B1B"/>
    <w:rsid w:val="00057C56"/>
    <w:rsid w:val="00060631"/>
    <w:rsid w:val="000610A9"/>
    <w:rsid w:val="0006159F"/>
    <w:rsid w:val="0006189A"/>
    <w:rsid w:val="00061B42"/>
    <w:rsid w:val="000657FE"/>
    <w:rsid w:val="00065D4D"/>
    <w:rsid w:val="000670A2"/>
    <w:rsid w:val="0006798A"/>
    <w:rsid w:val="00070578"/>
    <w:rsid w:val="00070EC8"/>
    <w:rsid w:val="00073E57"/>
    <w:rsid w:val="00074788"/>
    <w:rsid w:val="00074910"/>
    <w:rsid w:val="000766C4"/>
    <w:rsid w:val="000768B4"/>
    <w:rsid w:val="00080C49"/>
    <w:rsid w:val="00081377"/>
    <w:rsid w:val="000818F2"/>
    <w:rsid w:val="0008289F"/>
    <w:rsid w:val="00083A87"/>
    <w:rsid w:val="00085821"/>
    <w:rsid w:val="00086400"/>
    <w:rsid w:val="00086C1B"/>
    <w:rsid w:val="00086E43"/>
    <w:rsid w:val="00087C56"/>
    <w:rsid w:val="0009060D"/>
    <w:rsid w:val="0009068E"/>
    <w:rsid w:val="00091108"/>
    <w:rsid w:val="00091484"/>
    <w:rsid w:val="000914F7"/>
    <w:rsid w:val="00092D3A"/>
    <w:rsid w:val="000931CA"/>
    <w:rsid w:val="000941A8"/>
    <w:rsid w:val="00094547"/>
    <w:rsid w:val="000946C4"/>
    <w:rsid w:val="00094788"/>
    <w:rsid w:val="00094B79"/>
    <w:rsid w:val="0009556B"/>
    <w:rsid w:val="00096678"/>
    <w:rsid w:val="00096D1F"/>
    <w:rsid w:val="000A33B0"/>
    <w:rsid w:val="000A73A3"/>
    <w:rsid w:val="000A7A32"/>
    <w:rsid w:val="000A7C95"/>
    <w:rsid w:val="000A7DD8"/>
    <w:rsid w:val="000B3DB5"/>
    <w:rsid w:val="000B3E8A"/>
    <w:rsid w:val="000B49DC"/>
    <w:rsid w:val="000B5A60"/>
    <w:rsid w:val="000B610A"/>
    <w:rsid w:val="000B737E"/>
    <w:rsid w:val="000B742A"/>
    <w:rsid w:val="000B78FB"/>
    <w:rsid w:val="000B79F1"/>
    <w:rsid w:val="000B7B59"/>
    <w:rsid w:val="000B7E9A"/>
    <w:rsid w:val="000C3A81"/>
    <w:rsid w:val="000C3B22"/>
    <w:rsid w:val="000C60E3"/>
    <w:rsid w:val="000C6509"/>
    <w:rsid w:val="000C78F8"/>
    <w:rsid w:val="000D0298"/>
    <w:rsid w:val="000D0BEF"/>
    <w:rsid w:val="000D1BD6"/>
    <w:rsid w:val="000D2B81"/>
    <w:rsid w:val="000D342E"/>
    <w:rsid w:val="000D43F3"/>
    <w:rsid w:val="000D5583"/>
    <w:rsid w:val="000D55C1"/>
    <w:rsid w:val="000D6F7E"/>
    <w:rsid w:val="000D7875"/>
    <w:rsid w:val="000E06D4"/>
    <w:rsid w:val="000E0B21"/>
    <w:rsid w:val="000E1884"/>
    <w:rsid w:val="000E1D9A"/>
    <w:rsid w:val="000E246A"/>
    <w:rsid w:val="000E2962"/>
    <w:rsid w:val="000E2FCF"/>
    <w:rsid w:val="000E4227"/>
    <w:rsid w:val="000E7661"/>
    <w:rsid w:val="000F0C06"/>
    <w:rsid w:val="000F0D09"/>
    <w:rsid w:val="000F107A"/>
    <w:rsid w:val="000F15D8"/>
    <w:rsid w:val="000F2954"/>
    <w:rsid w:val="000F36F2"/>
    <w:rsid w:val="000F3CFC"/>
    <w:rsid w:val="000F5378"/>
    <w:rsid w:val="000F57D6"/>
    <w:rsid w:val="000F5F1A"/>
    <w:rsid w:val="000F6291"/>
    <w:rsid w:val="000F6823"/>
    <w:rsid w:val="000F6C82"/>
    <w:rsid w:val="000F6E6B"/>
    <w:rsid w:val="00100111"/>
    <w:rsid w:val="0010114E"/>
    <w:rsid w:val="00102CA8"/>
    <w:rsid w:val="00102F07"/>
    <w:rsid w:val="001040E1"/>
    <w:rsid w:val="00105260"/>
    <w:rsid w:val="00105A73"/>
    <w:rsid w:val="00106412"/>
    <w:rsid w:val="00106874"/>
    <w:rsid w:val="0011043C"/>
    <w:rsid w:val="001113CC"/>
    <w:rsid w:val="00111442"/>
    <w:rsid w:val="0011283B"/>
    <w:rsid w:val="00113832"/>
    <w:rsid w:val="0011431E"/>
    <w:rsid w:val="00115EF1"/>
    <w:rsid w:val="0012072A"/>
    <w:rsid w:val="00120E03"/>
    <w:rsid w:val="00121682"/>
    <w:rsid w:val="0012219D"/>
    <w:rsid w:val="00122782"/>
    <w:rsid w:val="001231AB"/>
    <w:rsid w:val="001234B9"/>
    <w:rsid w:val="00123696"/>
    <w:rsid w:val="00123AA8"/>
    <w:rsid w:val="001243E4"/>
    <w:rsid w:val="001245CC"/>
    <w:rsid w:val="001301B9"/>
    <w:rsid w:val="0013024D"/>
    <w:rsid w:val="00132A01"/>
    <w:rsid w:val="00134CDF"/>
    <w:rsid w:val="0013601F"/>
    <w:rsid w:val="00136F56"/>
    <w:rsid w:val="0014187E"/>
    <w:rsid w:val="0014361F"/>
    <w:rsid w:val="00143717"/>
    <w:rsid w:val="00143822"/>
    <w:rsid w:val="00143EAD"/>
    <w:rsid w:val="001442D9"/>
    <w:rsid w:val="00144427"/>
    <w:rsid w:val="00144762"/>
    <w:rsid w:val="00145015"/>
    <w:rsid w:val="001458AB"/>
    <w:rsid w:val="00146860"/>
    <w:rsid w:val="001475BF"/>
    <w:rsid w:val="00147A34"/>
    <w:rsid w:val="00150E40"/>
    <w:rsid w:val="0015190D"/>
    <w:rsid w:val="0015325D"/>
    <w:rsid w:val="00154576"/>
    <w:rsid w:val="00154EBA"/>
    <w:rsid w:val="0015566C"/>
    <w:rsid w:val="00157554"/>
    <w:rsid w:val="00160090"/>
    <w:rsid w:val="00161690"/>
    <w:rsid w:val="0016245E"/>
    <w:rsid w:val="00162A55"/>
    <w:rsid w:val="0016461F"/>
    <w:rsid w:val="001646E7"/>
    <w:rsid w:val="00165A8A"/>
    <w:rsid w:val="001661D5"/>
    <w:rsid w:val="00167075"/>
    <w:rsid w:val="00167424"/>
    <w:rsid w:val="00167C6B"/>
    <w:rsid w:val="0017159D"/>
    <w:rsid w:val="00171E4D"/>
    <w:rsid w:val="00171E77"/>
    <w:rsid w:val="001729FD"/>
    <w:rsid w:val="00172B71"/>
    <w:rsid w:val="00172F0B"/>
    <w:rsid w:val="00174EFD"/>
    <w:rsid w:val="001802C0"/>
    <w:rsid w:val="00180539"/>
    <w:rsid w:val="00180663"/>
    <w:rsid w:val="001811B3"/>
    <w:rsid w:val="001817EA"/>
    <w:rsid w:val="00181CBF"/>
    <w:rsid w:val="001824EC"/>
    <w:rsid w:val="0018305A"/>
    <w:rsid w:val="00186A11"/>
    <w:rsid w:val="001924EB"/>
    <w:rsid w:val="00192626"/>
    <w:rsid w:val="00193136"/>
    <w:rsid w:val="0019396D"/>
    <w:rsid w:val="001959BD"/>
    <w:rsid w:val="00195C92"/>
    <w:rsid w:val="00195EDD"/>
    <w:rsid w:val="0019720B"/>
    <w:rsid w:val="00197516"/>
    <w:rsid w:val="00197A16"/>
    <w:rsid w:val="001A1625"/>
    <w:rsid w:val="001A183B"/>
    <w:rsid w:val="001A192C"/>
    <w:rsid w:val="001A32CD"/>
    <w:rsid w:val="001A370E"/>
    <w:rsid w:val="001A4B72"/>
    <w:rsid w:val="001A4D3F"/>
    <w:rsid w:val="001A5E48"/>
    <w:rsid w:val="001A6098"/>
    <w:rsid w:val="001A7AD3"/>
    <w:rsid w:val="001B0712"/>
    <w:rsid w:val="001B08AA"/>
    <w:rsid w:val="001B08F0"/>
    <w:rsid w:val="001B0E8C"/>
    <w:rsid w:val="001B1E5E"/>
    <w:rsid w:val="001B36AF"/>
    <w:rsid w:val="001B43DB"/>
    <w:rsid w:val="001B78B6"/>
    <w:rsid w:val="001C0B52"/>
    <w:rsid w:val="001C1D46"/>
    <w:rsid w:val="001C4B6A"/>
    <w:rsid w:val="001C58C8"/>
    <w:rsid w:val="001C6F6B"/>
    <w:rsid w:val="001C7B18"/>
    <w:rsid w:val="001D00D8"/>
    <w:rsid w:val="001D0738"/>
    <w:rsid w:val="001D1369"/>
    <w:rsid w:val="001D33E1"/>
    <w:rsid w:val="001D4180"/>
    <w:rsid w:val="001D4E07"/>
    <w:rsid w:val="001D57D8"/>
    <w:rsid w:val="001D72AF"/>
    <w:rsid w:val="001D7E90"/>
    <w:rsid w:val="001E012F"/>
    <w:rsid w:val="001E1DA1"/>
    <w:rsid w:val="001E1E6F"/>
    <w:rsid w:val="001E2E4F"/>
    <w:rsid w:val="001E4D2D"/>
    <w:rsid w:val="001E501D"/>
    <w:rsid w:val="001E615F"/>
    <w:rsid w:val="001E6DEE"/>
    <w:rsid w:val="001E76D9"/>
    <w:rsid w:val="001F013A"/>
    <w:rsid w:val="001F16E7"/>
    <w:rsid w:val="001F2FF0"/>
    <w:rsid w:val="001F3EC5"/>
    <w:rsid w:val="001F4776"/>
    <w:rsid w:val="001F4D96"/>
    <w:rsid w:val="001F50A4"/>
    <w:rsid w:val="001F6728"/>
    <w:rsid w:val="001F6F5B"/>
    <w:rsid w:val="00202139"/>
    <w:rsid w:val="002021A7"/>
    <w:rsid w:val="00202AF1"/>
    <w:rsid w:val="00202CC2"/>
    <w:rsid w:val="00202E40"/>
    <w:rsid w:val="00202EB1"/>
    <w:rsid w:val="00203A19"/>
    <w:rsid w:val="00203F0A"/>
    <w:rsid w:val="00205BE7"/>
    <w:rsid w:val="00206223"/>
    <w:rsid w:val="00207548"/>
    <w:rsid w:val="0021076A"/>
    <w:rsid w:val="002117A7"/>
    <w:rsid w:val="00211D56"/>
    <w:rsid w:val="00211DEF"/>
    <w:rsid w:val="002129F0"/>
    <w:rsid w:val="00214AF2"/>
    <w:rsid w:val="0021603F"/>
    <w:rsid w:val="002176DA"/>
    <w:rsid w:val="002200FE"/>
    <w:rsid w:val="002204F6"/>
    <w:rsid w:val="00220AB3"/>
    <w:rsid w:val="00221170"/>
    <w:rsid w:val="0022161C"/>
    <w:rsid w:val="00221B73"/>
    <w:rsid w:val="00221C3A"/>
    <w:rsid w:val="00221EA8"/>
    <w:rsid w:val="00222601"/>
    <w:rsid w:val="002234AB"/>
    <w:rsid w:val="00223E8D"/>
    <w:rsid w:val="002270B2"/>
    <w:rsid w:val="00232274"/>
    <w:rsid w:val="00232C86"/>
    <w:rsid w:val="0023336B"/>
    <w:rsid w:val="00233499"/>
    <w:rsid w:val="00233897"/>
    <w:rsid w:val="00234585"/>
    <w:rsid w:val="002349FF"/>
    <w:rsid w:val="0023515D"/>
    <w:rsid w:val="0023544A"/>
    <w:rsid w:val="002355E6"/>
    <w:rsid w:val="00235E8E"/>
    <w:rsid w:val="002363DF"/>
    <w:rsid w:val="00237041"/>
    <w:rsid w:val="0023735C"/>
    <w:rsid w:val="00237987"/>
    <w:rsid w:val="0024005B"/>
    <w:rsid w:val="00240B8E"/>
    <w:rsid w:val="002434DB"/>
    <w:rsid w:val="0024489B"/>
    <w:rsid w:val="00244F08"/>
    <w:rsid w:val="002451CB"/>
    <w:rsid w:val="00247766"/>
    <w:rsid w:val="00254E7C"/>
    <w:rsid w:val="00255318"/>
    <w:rsid w:val="00255622"/>
    <w:rsid w:val="00256FA6"/>
    <w:rsid w:val="00257FF7"/>
    <w:rsid w:val="002600BB"/>
    <w:rsid w:val="0026179B"/>
    <w:rsid w:val="00262531"/>
    <w:rsid w:val="002634E6"/>
    <w:rsid w:val="00263714"/>
    <w:rsid w:val="00263F01"/>
    <w:rsid w:val="00264053"/>
    <w:rsid w:val="002646D3"/>
    <w:rsid w:val="00264E6D"/>
    <w:rsid w:val="00265286"/>
    <w:rsid w:val="002652E7"/>
    <w:rsid w:val="00265AF6"/>
    <w:rsid w:val="002664D3"/>
    <w:rsid w:val="00266CD9"/>
    <w:rsid w:val="00267731"/>
    <w:rsid w:val="00270E43"/>
    <w:rsid w:val="002718B1"/>
    <w:rsid w:val="00271AC8"/>
    <w:rsid w:val="00271DFA"/>
    <w:rsid w:val="00272385"/>
    <w:rsid w:val="00272DAE"/>
    <w:rsid w:val="002741F4"/>
    <w:rsid w:val="00274AEC"/>
    <w:rsid w:val="00275D1B"/>
    <w:rsid w:val="00276144"/>
    <w:rsid w:val="002761FF"/>
    <w:rsid w:val="002765BA"/>
    <w:rsid w:val="0028008C"/>
    <w:rsid w:val="002802F8"/>
    <w:rsid w:val="00280E45"/>
    <w:rsid w:val="002815C1"/>
    <w:rsid w:val="002816DB"/>
    <w:rsid w:val="00281B04"/>
    <w:rsid w:val="00282901"/>
    <w:rsid w:val="00283091"/>
    <w:rsid w:val="00283C2E"/>
    <w:rsid w:val="002845BC"/>
    <w:rsid w:val="00284ECC"/>
    <w:rsid w:val="00285004"/>
    <w:rsid w:val="00286B64"/>
    <w:rsid w:val="002873CF"/>
    <w:rsid w:val="002908FF"/>
    <w:rsid w:val="002909EF"/>
    <w:rsid w:val="00290A3A"/>
    <w:rsid w:val="00291340"/>
    <w:rsid w:val="00293850"/>
    <w:rsid w:val="00293C1F"/>
    <w:rsid w:val="00293CED"/>
    <w:rsid w:val="00294C90"/>
    <w:rsid w:val="00294DE9"/>
    <w:rsid w:val="00295718"/>
    <w:rsid w:val="00296527"/>
    <w:rsid w:val="00296540"/>
    <w:rsid w:val="00297E0F"/>
    <w:rsid w:val="00297F69"/>
    <w:rsid w:val="00297FA9"/>
    <w:rsid w:val="002A07DC"/>
    <w:rsid w:val="002A0D21"/>
    <w:rsid w:val="002A1128"/>
    <w:rsid w:val="002A5CFC"/>
    <w:rsid w:val="002A6F3B"/>
    <w:rsid w:val="002B0857"/>
    <w:rsid w:val="002B1534"/>
    <w:rsid w:val="002B2228"/>
    <w:rsid w:val="002B2B43"/>
    <w:rsid w:val="002B2EAE"/>
    <w:rsid w:val="002B2F7B"/>
    <w:rsid w:val="002B36B3"/>
    <w:rsid w:val="002B5279"/>
    <w:rsid w:val="002B6C0C"/>
    <w:rsid w:val="002B6C5F"/>
    <w:rsid w:val="002C0EAC"/>
    <w:rsid w:val="002C0FB3"/>
    <w:rsid w:val="002C1551"/>
    <w:rsid w:val="002C312B"/>
    <w:rsid w:val="002C5004"/>
    <w:rsid w:val="002C5B9A"/>
    <w:rsid w:val="002C7AFB"/>
    <w:rsid w:val="002D14BB"/>
    <w:rsid w:val="002D2EBD"/>
    <w:rsid w:val="002D394D"/>
    <w:rsid w:val="002D3D37"/>
    <w:rsid w:val="002D5CF8"/>
    <w:rsid w:val="002D5D03"/>
    <w:rsid w:val="002D625C"/>
    <w:rsid w:val="002E024F"/>
    <w:rsid w:val="002E0366"/>
    <w:rsid w:val="002E08FE"/>
    <w:rsid w:val="002E1324"/>
    <w:rsid w:val="002E18E1"/>
    <w:rsid w:val="002E1C87"/>
    <w:rsid w:val="002E4533"/>
    <w:rsid w:val="002F109E"/>
    <w:rsid w:val="002F337E"/>
    <w:rsid w:val="002F369C"/>
    <w:rsid w:val="002F4371"/>
    <w:rsid w:val="002F4452"/>
    <w:rsid w:val="002F4C2E"/>
    <w:rsid w:val="002F5F8F"/>
    <w:rsid w:val="002F7AE6"/>
    <w:rsid w:val="00300336"/>
    <w:rsid w:val="00300BD5"/>
    <w:rsid w:val="003022DB"/>
    <w:rsid w:val="00302A87"/>
    <w:rsid w:val="00302A99"/>
    <w:rsid w:val="0030314F"/>
    <w:rsid w:val="0030480C"/>
    <w:rsid w:val="003066B7"/>
    <w:rsid w:val="0030730D"/>
    <w:rsid w:val="00310A8F"/>
    <w:rsid w:val="0031134F"/>
    <w:rsid w:val="00313ECC"/>
    <w:rsid w:val="00315B39"/>
    <w:rsid w:val="003167AB"/>
    <w:rsid w:val="0031742F"/>
    <w:rsid w:val="00320758"/>
    <w:rsid w:val="0032244D"/>
    <w:rsid w:val="00326692"/>
    <w:rsid w:val="00327A61"/>
    <w:rsid w:val="00327B64"/>
    <w:rsid w:val="00330519"/>
    <w:rsid w:val="0033087D"/>
    <w:rsid w:val="00330CD4"/>
    <w:rsid w:val="0033134F"/>
    <w:rsid w:val="0033210C"/>
    <w:rsid w:val="0033221D"/>
    <w:rsid w:val="0033250F"/>
    <w:rsid w:val="00333A15"/>
    <w:rsid w:val="00334D8F"/>
    <w:rsid w:val="00335BB9"/>
    <w:rsid w:val="00336D43"/>
    <w:rsid w:val="00340286"/>
    <w:rsid w:val="00341DE7"/>
    <w:rsid w:val="003421B4"/>
    <w:rsid w:val="00342929"/>
    <w:rsid w:val="003437D0"/>
    <w:rsid w:val="00343A6C"/>
    <w:rsid w:val="00343B97"/>
    <w:rsid w:val="00344595"/>
    <w:rsid w:val="003446D7"/>
    <w:rsid w:val="00344B5A"/>
    <w:rsid w:val="00350C47"/>
    <w:rsid w:val="00350F06"/>
    <w:rsid w:val="0035169A"/>
    <w:rsid w:val="00351711"/>
    <w:rsid w:val="00351D9F"/>
    <w:rsid w:val="00351EC6"/>
    <w:rsid w:val="00352289"/>
    <w:rsid w:val="00354053"/>
    <w:rsid w:val="003543FA"/>
    <w:rsid w:val="00355589"/>
    <w:rsid w:val="00355897"/>
    <w:rsid w:val="00355D5A"/>
    <w:rsid w:val="00356180"/>
    <w:rsid w:val="0035665D"/>
    <w:rsid w:val="00356CD3"/>
    <w:rsid w:val="00356D8A"/>
    <w:rsid w:val="00357636"/>
    <w:rsid w:val="0036056C"/>
    <w:rsid w:val="00361B26"/>
    <w:rsid w:val="00361CCB"/>
    <w:rsid w:val="003621EB"/>
    <w:rsid w:val="003624B2"/>
    <w:rsid w:val="0036413A"/>
    <w:rsid w:val="00364721"/>
    <w:rsid w:val="00367368"/>
    <w:rsid w:val="00367BA2"/>
    <w:rsid w:val="003708BC"/>
    <w:rsid w:val="00370BB0"/>
    <w:rsid w:val="003719C0"/>
    <w:rsid w:val="00373A4E"/>
    <w:rsid w:val="00376042"/>
    <w:rsid w:val="00376502"/>
    <w:rsid w:val="0038024C"/>
    <w:rsid w:val="003802E3"/>
    <w:rsid w:val="003809AE"/>
    <w:rsid w:val="00380C16"/>
    <w:rsid w:val="00381418"/>
    <w:rsid w:val="00382B6E"/>
    <w:rsid w:val="00382F22"/>
    <w:rsid w:val="003831E3"/>
    <w:rsid w:val="003839AE"/>
    <w:rsid w:val="00383F12"/>
    <w:rsid w:val="00384628"/>
    <w:rsid w:val="00384734"/>
    <w:rsid w:val="0038597A"/>
    <w:rsid w:val="00385B58"/>
    <w:rsid w:val="003908E0"/>
    <w:rsid w:val="00390A48"/>
    <w:rsid w:val="00390FCF"/>
    <w:rsid w:val="003914F7"/>
    <w:rsid w:val="00391E0D"/>
    <w:rsid w:val="003922AE"/>
    <w:rsid w:val="0039394F"/>
    <w:rsid w:val="0039550B"/>
    <w:rsid w:val="00396951"/>
    <w:rsid w:val="00396DC1"/>
    <w:rsid w:val="00397141"/>
    <w:rsid w:val="00397461"/>
    <w:rsid w:val="00397E00"/>
    <w:rsid w:val="003A1494"/>
    <w:rsid w:val="003A2069"/>
    <w:rsid w:val="003A3F4D"/>
    <w:rsid w:val="003A503E"/>
    <w:rsid w:val="003A5C8B"/>
    <w:rsid w:val="003A5CC2"/>
    <w:rsid w:val="003A6A86"/>
    <w:rsid w:val="003B0218"/>
    <w:rsid w:val="003B0282"/>
    <w:rsid w:val="003B1812"/>
    <w:rsid w:val="003B292A"/>
    <w:rsid w:val="003B6C59"/>
    <w:rsid w:val="003B7752"/>
    <w:rsid w:val="003B7896"/>
    <w:rsid w:val="003C07FF"/>
    <w:rsid w:val="003C195B"/>
    <w:rsid w:val="003C2708"/>
    <w:rsid w:val="003C2F10"/>
    <w:rsid w:val="003C3AD2"/>
    <w:rsid w:val="003C3E8B"/>
    <w:rsid w:val="003C4A3E"/>
    <w:rsid w:val="003C4EDC"/>
    <w:rsid w:val="003C5423"/>
    <w:rsid w:val="003C546F"/>
    <w:rsid w:val="003C5A5C"/>
    <w:rsid w:val="003C6822"/>
    <w:rsid w:val="003C7873"/>
    <w:rsid w:val="003D154D"/>
    <w:rsid w:val="003D26AC"/>
    <w:rsid w:val="003D40C2"/>
    <w:rsid w:val="003D5105"/>
    <w:rsid w:val="003D581D"/>
    <w:rsid w:val="003D66CC"/>
    <w:rsid w:val="003D694C"/>
    <w:rsid w:val="003D6CDD"/>
    <w:rsid w:val="003D7ADE"/>
    <w:rsid w:val="003E1ED2"/>
    <w:rsid w:val="003E246E"/>
    <w:rsid w:val="003E285E"/>
    <w:rsid w:val="003E3D33"/>
    <w:rsid w:val="003E55BD"/>
    <w:rsid w:val="003F054F"/>
    <w:rsid w:val="003F0D00"/>
    <w:rsid w:val="003F152A"/>
    <w:rsid w:val="003F1FDE"/>
    <w:rsid w:val="003F423D"/>
    <w:rsid w:val="003F49E5"/>
    <w:rsid w:val="003F4BA0"/>
    <w:rsid w:val="003F72F4"/>
    <w:rsid w:val="003F7939"/>
    <w:rsid w:val="00401C93"/>
    <w:rsid w:val="00402B36"/>
    <w:rsid w:val="004039A7"/>
    <w:rsid w:val="004053B5"/>
    <w:rsid w:val="00405577"/>
    <w:rsid w:val="00405818"/>
    <w:rsid w:val="00405EE4"/>
    <w:rsid w:val="00405EF4"/>
    <w:rsid w:val="00406827"/>
    <w:rsid w:val="00407D24"/>
    <w:rsid w:val="0041093E"/>
    <w:rsid w:val="0041221B"/>
    <w:rsid w:val="0041463A"/>
    <w:rsid w:val="00414C41"/>
    <w:rsid w:val="0041518C"/>
    <w:rsid w:val="004159C3"/>
    <w:rsid w:val="00415C18"/>
    <w:rsid w:val="00415F14"/>
    <w:rsid w:val="00416495"/>
    <w:rsid w:val="00416B86"/>
    <w:rsid w:val="0041711E"/>
    <w:rsid w:val="004217C0"/>
    <w:rsid w:val="00421825"/>
    <w:rsid w:val="00421EAE"/>
    <w:rsid w:val="00421EEC"/>
    <w:rsid w:val="00422019"/>
    <w:rsid w:val="00422592"/>
    <w:rsid w:val="0042273A"/>
    <w:rsid w:val="00422C65"/>
    <w:rsid w:val="00423666"/>
    <w:rsid w:val="00423B52"/>
    <w:rsid w:val="004264E3"/>
    <w:rsid w:val="004269E8"/>
    <w:rsid w:val="0042718A"/>
    <w:rsid w:val="00430839"/>
    <w:rsid w:val="00431048"/>
    <w:rsid w:val="0043145E"/>
    <w:rsid w:val="00432441"/>
    <w:rsid w:val="00432D97"/>
    <w:rsid w:val="00433071"/>
    <w:rsid w:val="00433E1A"/>
    <w:rsid w:val="00433E5C"/>
    <w:rsid w:val="00434441"/>
    <w:rsid w:val="00434B54"/>
    <w:rsid w:val="00437429"/>
    <w:rsid w:val="00437C97"/>
    <w:rsid w:val="00440D04"/>
    <w:rsid w:val="00442B03"/>
    <w:rsid w:val="004432A2"/>
    <w:rsid w:val="004437CF"/>
    <w:rsid w:val="00444B46"/>
    <w:rsid w:val="00446D97"/>
    <w:rsid w:val="00447464"/>
    <w:rsid w:val="00447809"/>
    <w:rsid w:val="00447AE3"/>
    <w:rsid w:val="00451E47"/>
    <w:rsid w:val="004532B9"/>
    <w:rsid w:val="00456468"/>
    <w:rsid w:val="00457A83"/>
    <w:rsid w:val="00460A98"/>
    <w:rsid w:val="00461187"/>
    <w:rsid w:val="004613AE"/>
    <w:rsid w:val="004630F1"/>
    <w:rsid w:val="00463AF2"/>
    <w:rsid w:val="00463EEC"/>
    <w:rsid w:val="00464284"/>
    <w:rsid w:val="00464EB0"/>
    <w:rsid w:val="0046500A"/>
    <w:rsid w:val="00465991"/>
    <w:rsid w:val="00467212"/>
    <w:rsid w:val="004672EC"/>
    <w:rsid w:val="00470274"/>
    <w:rsid w:val="00470717"/>
    <w:rsid w:val="00470C5D"/>
    <w:rsid w:val="00470D0B"/>
    <w:rsid w:val="00471855"/>
    <w:rsid w:val="00472FB3"/>
    <w:rsid w:val="00474A31"/>
    <w:rsid w:val="00474B41"/>
    <w:rsid w:val="00474D39"/>
    <w:rsid w:val="00476E21"/>
    <w:rsid w:val="00476EDE"/>
    <w:rsid w:val="00477371"/>
    <w:rsid w:val="0047759A"/>
    <w:rsid w:val="00481802"/>
    <w:rsid w:val="004827BD"/>
    <w:rsid w:val="00485251"/>
    <w:rsid w:val="00485BEF"/>
    <w:rsid w:val="00486712"/>
    <w:rsid w:val="004867E8"/>
    <w:rsid w:val="0048778E"/>
    <w:rsid w:val="00487D79"/>
    <w:rsid w:val="0049171A"/>
    <w:rsid w:val="0049186E"/>
    <w:rsid w:val="004948C1"/>
    <w:rsid w:val="00495E71"/>
    <w:rsid w:val="00497916"/>
    <w:rsid w:val="004A23D0"/>
    <w:rsid w:val="004A3754"/>
    <w:rsid w:val="004A37D5"/>
    <w:rsid w:val="004A5415"/>
    <w:rsid w:val="004A5B5D"/>
    <w:rsid w:val="004A60AC"/>
    <w:rsid w:val="004A6477"/>
    <w:rsid w:val="004A6A22"/>
    <w:rsid w:val="004A6BE1"/>
    <w:rsid w:val="004A6C9D"/>
    <w:rsid w:val="004B05BA"/>
    <w:rsid w:val="004B0DF3"/>
    <w:rsid w:val="004B1F05"/>
    <w:rsid w:val="004B2E8E"/>
    <w:rsid w:val="004B3941"/>
    <w:rsid w:val="004B42F7"/>
    <w:rsid w:val="004C0D30"/>
    <w:rsid w:val="004C117A"/>
    <w:rsid w:val="004C37B4"/>
    <w:rsid w:val="004C3DCB"/>
    <w:rsid w:val="004C5002"/>
    <w:rsid w:val="004C5A04"/>
    <w:rsid w:val="004D0F8E"/>
    <w:rsid w:val="004D1B8C"/>
    <w:rsid w:val="004D1E0A"/>
    <w:rsid w:val="004D3202"/>
    <w:rsid w:val="004D3A17"/>
    <w:rsid w:val="004D43C2"/>
    <w:rsid w:val="004D4AA0"/>
    <w:rsid w:val="004D4B86"/>
    <w:rsid w:val="004D4E26"/>
    <w:rsid w:val="004D6653"/>
    <w:rsid w:val="004D7B27"/>
    <w:rsid w:val="004E017E"/>
    <w:rsid w:val="004E25A0"/>
    <w:rsid w:val="004E3DB0"/>
    <w:rsid w:val="004E5324"/>
    <w:rsid w:val="004E63A7"/>
    <w:rsid w:val="004E6F2C"/>
    <w:rsid w:val="004E7497"/>
    <w:rsid w:val="004F07B4"/>
    <w:rsid w:val="004F0CAC"/>
    <w:rsid w:val="004F0EDF"/>
    <w:rsid w:val="004F1407"/>
    <w:rsid w:val="004F1656"/>
    <w:rsid w:val="004F1FB1"/>
    <w:rsid w:val="004F285C"/>
    <w:rsid w:val="004F2DC8"/>
    <w:rsid w:val="004F32C1"/>
    <w:rsid w:val="004F46D6"/>
    <w:rsid w:val="004F55D4"/>
    <w:rsid w:val="004F5C9E"/>
    <w:rsid w:val="004F69A1"/>
    <w:rsid w:val="004F7995"/>
    <w:rsid w:val="004F79B3"/>
    <w:rsid w:val="004F7D90"/>
    <w:rsid w:val="005011C6"/>
    <w:rsid w:val="005015B4"/>
    <w:rsid w:val="00502456"/>
    <w:rsid w:val="00502674"/>
    <w:rsid w:val="00502B65"/>
    <w:rsid w:val="00503AA7"/>
    <w:rsid w:val="005044FF"/>
    <w:rsid w:val="0050459F"/>
    <w:rsid w:val="00505245"/>
    <w:rsid w:val="00506A72"/>
    <w:rsid w:val="0050722D"/>
    <w:rsid w:val="005072B8"/>
    <w:rsid w:val="005078A5"/>
    <w:rsid w:val="0051024A"/>
    <w:rsid w:val="005109E7"/>
    <w:rsid w:val="00511225"/>
    <w:rsid w:val="00511F63"/>
    <w:rsid w:val="00512B59"/>
    <w:rsid w:val="005130AF"/>
    <w:rsid w:val="005138D3"/>
    <w:rsid w:val="00514E56"/>
    <w:rsid w:val="005155C0"/>
    <w:rsid w:val="005156C2"/>
    <w:rsid w:val="005163A1"/>
    <w:rsid w:val="00516F2C"/>
    <w:rsid w:val="00517E46"/>
    <w:rsid w:val="005203F1"/>
    <w:rsid w:val="00520DDF"/>
    <w:rsid w:val="005215F2"/>
    <w:rsid w:val="00521E98"/>
    <w:rsid w:val="00521F94"/>
    <w:rsid w:val="0052681E"/>
    <w:rsid w:val="00526F73"/>
    <w:rsid w:val="0052782F"/>
    <w:rsid w:val="00527B01"/>
    <w:rsid w:val="00527BFB"/>
    <w:rsid w:val="00531EB7"/>
    <w:rsid w:val="0053283E"/>
    <w:rsid w:val="005347D3"/>
    <w:rsid w:val="005348D4"/>
    <w:rsid w:val="0053538B"/>
    <w:rsid w:val="005357D2"/>
    <w:rsid w:val="00535900"/>
    <w:rsid w:val="005404D5"/>
    <w:rsid w:val="005405B3"/>
    <w:rsid w:val="005407B3"/>
    <w:rsid w:val="005425CC"/>
    <w:rsid w:val="005434FB"/>
    <w:rsid w:val="005446D9"/>
    <w:rsid w:val="00544A44"/>
    <w:rsid w:val="00544FF7"/>
    <w:rsid w:val="0054511A"/>
    <w:rsid w:val="005459DD"/>
    <w:rsid w:val="00546B93"/>
    <w:rsid w:val="00546FB3"/>
    <w:rsid w:val="005502E3"/>
    <w:rsid w:val="0055034F"/>
    <w:rsid w:val="0055245D"/>
    <w:rsid w:val="00552B21"/>
    <w:rsid w:val="00553BC5"/>
    <w:rsid w:val="00554391"/>
    <w:rsid w:val="00554A67"/>
    <w:rsid w:val="00555019"/>
    <w:rsid w:val="005552F5"/>
    <w:rsid w:val="005554D9"/>
    <w:rsid w:val="00555DC1"/>
    <w:rsid w:val="00560418"/>
    <w:rsid w:val="005607CB"/>
    <w:rsid w:val="0056187E"/>
    <w:rsid w:val="00561F8F"/>
    <w:rsid w:val="005624B4"/>
    <w:rsid w:val="00563A92"/>
    <w:rsid w:val="00564977"/>
    <w:rsid w:val="00565587"/>
    <w:rsid w:val="00565911"/>
    <w:rsid w:val="00565C04"/>
    <w:rsid w:val="005661F3"/>
    <w:rsid w:val="0056621D"/>
    <w:rsid w:val="00566A16"/>
    <w:rsid w:val="00566F00"/>
    <w:rsid w:val="00567063"/>
    <w:rsid w:val="005675C9"/>
    <w:rsid w:val="00567A05"/>
    <w:rsid w:val="005715CD"/>
    <w:rsid w:val="0057369B"/>
    <w:rsid w:val="0057475F"/>
    <w:rsid w:val="00575809"/>
    <w:rsid w:val="005761E0"/>
    <w:rsid w:val="00576718"/>
    <w:rsid w:val="00576E6B"/>
    <w:rsid w:val="005770CB"/>
    <w:rsid w:val="005778E5"/>
    <w:rsid w:val="00577E57"/>
    <w:rsid w:val="005814A8"/>
    <w:rsid w:val="00581EC5"/>
    <w:rsid w:val="00582185"/>
    <w:rsid w:val="005828F0"/>
    <w:rsid w:val="00582B7F"/>
    <w:rsid w:val="005832E0"/>
    <w:rsid w:val="00584066"/>
    <w:rsid w:val="00584E1D"/>
    <w:rsid w:val="0058635B"/>
    <w:rsid w:val="00586AA3"/>
    <w:rsid w:val="00586AD4"/>
    <w:rsid w:val="00586CC9"/>
    <w:rsid w:val="00586FDE"/>
    <w:rsid w:val="005870A0"/>
    <w:rsid w:val="00587173"/>
    <w:rsid w:val="00587774"/>
    <w:rsid w:val="00591998"/>
    <w:rsid w:val="00591A58"/>
    <w:rsid w:val="00591E39"/>
    <w:rsid w:val="00592344"/>
    <w:rsid w:val="00593296"/>
    <w:rsid w:val="00595433"/>
    <w:rsid w:val="005960AF"/>
    <w:rsid w:val="00597A43"/>
    <w:rsid w:val="00597BB4"/>
    <w:rsid w:val="005A0233"/>
    <w:rsid w:val="005A0772"/>
    <w:rsid w:val="005A0C3A"/>
    <w:rsid w:val="005A11B7"/>
    <w:rsid w:val="005A2D16"/>
    <w:rsid w:val="005A2D20"/>
    <w:rsid w:val="005A3882"/>
    <w:rsid w:val="005A3A4D"/>
    <w:rsid w:val="005A4ADD"/>
    <w:rsid w:val="005A61D1"/>
    <w:rsid w:val="005A7108"/>
    <w:rsid w:val="005A7C43"/>
    <w:rsid w:val="005B07DA"/>
    <w:rsid w:val="005B106D"/>
    <w:rsid w:val="005B29A3"/>
    <w:rsid w:val="005B4B9F"/>
    <w:rsid w:val="005B5B93"/>
    <w:rsid w:val="005B624F"/>
    <w:rsid w:val="005B6F04"/>
    <w:rsid w:val="005C0755"/>
    <w:rsid w:val="005C0A98"/>
    <w:rsid w:val="005C0C4F"/>
    <w:rsid w:val="005C1300"/>
    <w:rsid w:val="005C2B09"/>
    <w:rsid w:val="005C7168"/>
    <w:rsid w:val="005D1F37"/>
    <w:rsid w:val="005D2B6C"/>
    <w:rsid w:val="005D4763"/>
    <w:rsid w:val="005D47BD"/>
    <w:rsid w:val="005D5522"/>
    <w:rsid w:val="005D7032"/>
    <w:rsid w:val="005D726F"/>
    <w:rsid w:val="005D76D9"/>
    <w:rsid w:val="005D7BEF"/>
    <w:rsid w:val="005D7E41"/>
    <w:rsid w:val="005E0B9E"/>
    <w:rsid w:val="005E2538"/>
    <w:rsid w:val="005E267D"/>
    <w:rsid w:val="005E2732"/>
    <w:rsid w:val="005E3CBF"/>
    <w:rsid w:val="005E3D8A"/>
    <w:rsid w:val="005E4D4D"/>
    <w:rsid w:val="005E4EDF"/>
    <w:rsid w:val="005E567F"/>
    <w:rsid w:val="005E5983"/>
    <w:rsid w:val="005E785E"/>
    <w:rsid w:val="005E7BC1"/>
    <w:rsid w:val="005F0A3D"/>
    <w:rsid w:val="005F0D25"/>
    <w:rsid w:val="005F1E96"/>
    <w:rsid w:val="005F2EDC"/>
    <w:rsid w:val="005F380C"/>
    <w:rsid w:val="005F4EE5"/>
    <w:rsid w:val="005F6299"/>
    <w:rsid w:val="006008CC"/>
    <w:rsid w:val="00600BDB"/>
    <w:rsid w:val="006017A9"/>
    <w:rsid w:val="00602955"/>
    <w:rsid w:val="00602AF3"/>
    <w:rsid w:val="006035FF"/>
    <w:rsid w:val="006050D5"/>
    <w:rsid w:val="00605169"/>
    <w:rsid w:val="006057B9"/>
    <w:rsid w:val="00610622"/>
    <w:rsid w:val="00610672"/>
    <w:rsid w:val="00610B38"/>
    <w:rsid w:val="006114A1"/>
    <w:rsid w:val="006116B2"/>
    <w:rsid w:val="006116E9"/>
    <w:rsid w:val="0061182C"/>
    <w:rsid w:val="0061220B"/>
    <w:rsid w:val="00614831"/>
    <w:rsid w:val="00615497"/>
    <w:rsid w:val="006167B7"/>
    <w:rsid w:val="0061707F"/>
    <w:rsid w:val="006172CB"/>
    <w:rsid w:val="0061775E"/>
    <w:rsid w:val="00617965"/>
    <w:rsid w:val="00620840"/>
    <w:rsid w:val="00622F49"/>
    <w:rsid w:val="006239CE"/>
    <w:rsid w:val="00623DC4"/>
    <w:rsid w:val="006247EE"/>
    <w:rsid w:val="00624DD1"/>
    <w:rsid w:val="0062559F"/>
    <w:rsid w:val="00625BC2"/>
    <w:rsid w:val="00625F25"/>
    <w:rsid w:val="00626F98"/>
    <w:rsid w:val="006273C1"/>
    <w:rsid w:val="00627D2A"/>
    <w:rsid w:val="00630D15"/>
    <w:rsid w:val="0063192D"/>
    <w:rsid w:val="00633379"/>
    <w:rsid w:val="006338F3"/>
    <w:rsid w:val="0063512D"/>
    <w:rsid w:val="0063583A"/>
    <w:rsid w:val="00636F72"/>
    <w:rsid w:val="00637957"/>
    <w:rsid w:val="00642031"/>
    <w:rsid w:val="00642263"/>
    <w:rsid w:val="006423B9"/>
    <w:rsid w:val="0064342B"/>
    <w:rsid w:val="00644373"/>
    <w:rsid w:val="0064457F"/>
    <w:rsid w:val="00644982"/>
    <w:rsid w:val="00645946"/>
    <w:rsid w:val="00646553"/>
    <w:rsid w:val="00646773"/>
    <w:rsid w:val="00647345"/>
    <w:rsid w:val="00651BBE"/>
    <w:rsid w:val="0065275E"/>
    <w:rsid w:val="0065323E"/>
    <w:rsid w:val="006534A9"/>
    <w:rsid w:val="006539DA"/>
    <w:rsid w:val="00654B9C"/>
    <w:rsid w:val="006552C1"/>
    <w:rsid w:val="00656231"/>
    <w:rsid w:val="00656407"/>
    <w:rsid w:val="00660B7E"/>
    <w:rsid w:val="006615F4"/>
    <w:rsid w:val="006620E3"/>
    <w:rsid w:val="006636FB"/>
    <w:rsid w:val="006639B0"/>
    <w:rsid w:val="00665016"/>
    <w:rsid w:val="006656D7"/>
    <w:rsid w:val="00666C99"/>
    <w:rsid w:val="00667179"/>
    <w:rsid w:val="00667F94"/>
    <w:rsid w:val="0067134B"/>
    <w:rsid w:val="00671675"/>
    <w:rsid w:val="00671AF1"/>
    <w:rsid w:val="00674476"/>
    <w:rsid w:val="00675437"/>
    <w:rsid w:val="006802A8"/>
    <w:rsid w:val="00681C2F"/>
    <w:rsid w:val="006824D0"/>
    <w:rsid w:val="0068269A"/>
    <w:rsid w:val="0068415E"/>
    <w:rsid w:val="00686366"/>
    <w:rsid w:val="00686B93"/>
    <w:rsid w:val="00686F76"/>
    <w:rsid w:val="00687174"/>
    <w:rsid w:val="0068748E"/>
    <w:rsid w:val="006949BB"/>
    <w:rsid w:val="00695DEE"/>
    <w:rsid w:val="00697706"/>
    <w:rsid w:val="006A2DDB"/>
    <w:rsid w:val="006A4052"/>
    <w:rsid w:val="006A4DE0"/>
    <w:rsid w:val="006A636B"/>
    <w:rsid w:val="006A6A49"/>
    <w:rsid w:val="006B18BD"/>
    <w:rsid w:val="006B23D0"/>
    <w:rsid w:val="006B26E3"/>
    <w:rsid w:val="006B2CAE"/>
    <w:rsid w:val="006B36C7"/>
    <w:rsid w:val="006B3E05"/>
    <w:rsid w:val="006B4113"/>
    <w:rsid w:val="006B4259"/>
    <w:rsid w:val="006B52C8"/>
    <w:rsid w:val="006B5613"/>
    <w:rsid w:val="006B6F67"/>
    <w:rsid w:val="006B6F8B"/>
    <w:rsid w:val="006C0C8A"/>
    <w:rsid w:val="006C1900"/>
    <w:rsid w:val="006C1BAA"/>
    <w:rsid w:val="006C2810"/>
    <w:rsid w:val="006C29AF"/>
    <w:rsid w:val="006C3025"/>
    <w:rsid w:val="006C3E3F"/>
    <w:rsid w:val="006C6CFA"/>
    <w:rsid w:val="006C746A"/>
    <w:rsid w:val="006C7789"/>
    <w:rsid w:val="006C7F72"/>
    <w:rsid w:val="006D0E0A"/>
    <w:rsid w:val="006D1650"/>
    <w:rsid w:val="006D2A8D"/>
    <w:rsid w:val="006D43CC"/>
    <w:rsid w:val="006D43DB"/>
    <w:rsid w:val="006D4BBF"/>
    <w:rsid w:val="006D5041"/>
    <w:rsid w:val="006D52C2"/>
    <w:rsid w:val="006D5476"/>
    <w:rsid w:val="006D5DB5"/>
    <w:rsid w:val="006D7DB3"/>
    <w:rsid w:val="006E0CB5"/>
    <w:rsid w:val="006E1414"/>
    <w:rsid w:val="006E19E6"/>
    <w:rsid w:val="006E3C2C"/>
    <w:rsid w:val="006E3F34"/>
    <w:rsid w:val="006E5B8A"/>
    <w:rsid w:val="006E7520"/>
    <w:rsid w:val="006E7FE5"/>
    <w:rsid w:val="006F036C"/>
    <w:rsid w:val="006F0ACB"/>
    <w:rsid w:val="006F0D07"/>
    <w:rsid w:val="006F1A10"/>
    <w:rsid w:val="006F2734"/>
    <w:rsid w:val="006F323A"/>
    <w:rsid w:val="006F491E"/>
    <w:rsid w:val="006F4F43"/>
    <w:rsid w:val="006F5793"/>
    <w:rsid w:val="006F600E"/>
    <w:rsid w:val="006F7A39"/>
    <w:rsid w:val="007005D8"/>
    <w:rsid w:val="00700B2D"/>
    <w:rsid w:val="007011E3"/>
    <w:rsid w:val="007013D0"/>
    <w:rsid w:val="00703EF6"/>
    <w:rsid w:val="0070440E"/>
    <w:rsid w:val="00704FC9"/>
    <w:rsid w:val="0070617D"/>
    <w:rsid w:val="00706467"/>
    <w:rsid w:val="00706E4B"/>
    <w:rsid w:val="00706F78"/>
    <w:rsid w:val="00710312"/>
    <w:rsid w:val="0071076D"/>
    <w:rsid w:val="007111C9"/>
    <w:rsid w:val="007115B4"/>
    <w:rsid w:val="0071216C"/>
    <w:rsid w:val="00715E1A"/>
    <w:rsid w:val="007165B3"/>
    <w:rsid w:val="00716E64"/>
    <w:rsid w:val="0072241A"/>
    <w:rsid w:val="00723E53"/>
    <w:rsid w:val="0072494B"/>
    <w:rsid w:val="00724CF5"/>
    <w:rsid w:val="00725CF1"/>
    <w:rsid w:val="007261F4"/>
    <w:rsid w:val="0072651E"/>
    <w:rsid w:val="00726EAE"/>
    <w:rsid w:val="00732E10"/>
    <w:rsid w:val="00732FFA"/>
    <w:rsid w:val="00734F68"/>
    <w:rsid w:val="00735CDC"/>
    <w:rsid w:val="00735E8A"/>
    <w:rsid w:val="0074016E"/>
    <w:rsid w:val="007405A7"/>
    <w:rsid w:val="00740C0A"/>
    <w:rsid w:val="0074142C"/>
    <w:rsid w:val="007415BF"/>
    <w:rsid w:val="00741F66"/>
    <w:rsid w:val="00743667"/>
    <w:rsid w:val="007439E9"/>
    <w:rsid w:val="00744D2D"/>
    <w:rsid w:val="0074568C"/>
    <w:rsid w:val="00747633"/>
    <w:rsid w:val="007504FD"/>
    <w:rsid w:val="00750AB9"/>
    <w:rsid w:val="00751C8D"/>
    <w:rsid w:val="007525ED"/>
    <w:rsid w:val="007528C9"/>
    <w:rsid w:val="007543F2"/>
    <w:rsid w:val="00757027"/>
    <w:rsid w:val="00757637"/>
    <w:rsid w:val="00757B01"/>
    <w:rsid w:val="007605E3"/>
    <w:rsid w:val="00760C61"/>
    <w:rsid w:val="00760CF0"/>
    <w:rsid w:val="00761813"/>
    <w:rsid w:val="00761D29"/>
    <w:rsid w:val="00764A38"/>
    <w:rsid w:val="0076556C"/>
    <w:rsid w:val="00765759"/>
    <w:rsid w:val="007664C4"/>
    <w:rsid w:val="00766A2C"/>
    <w:rsid w:val="00767920"/>
    <w:rsid w:val="007714C2"/>
    <w:rsid w:val="0077209A"/>
    <w:rsid w:val="0077264C"/>
    <w:rsid w:val="00772C66"/>
    <w:rsid w:val="00772DE6"/>
    <w:rsid w:val="00773214"/>
    <w:rsid w:val="00773353"/>
    <w:rsid w:val="0077368C"/>
    <w:rsid w:val="00774F85"/>
    <w:rsid w:val="00774FBA"/>
    <w:rsid w:val="00776541"/>
    <w:rsid w:val="00777E41"/>
    <w:rsid w:val="0078038B"/>
    <w:rsid w:val="0078153D"/>
    <w:rsid w:val="00782DA1"/>
    <w:rsid w:val="0078436F"/>
    <w:rsid w:val="00785157"/>
    <w:rsid w:val="00785FDC"/>
    <w:rsid w:val="00786C59"/>
    <w:rsid w:val="007875CF"/>
    <w:rsid w:val="00787E3D"/>
    <w:rsid w:val="00791A72"/>
    <w:rsid w:val="007931DC"/>
    <w:rsid w:val="00794836"/>
    <w:rsid w:val="007952D4"/>
    <w:rsid w:val="00795353"/>
    <w:rsid w:val="00797586"/>
    <w:rsid w:val="00797666"/>
    <w:rsid w:val="007A014F"/>
    <w:rsid w:val="007A0C3B"/>
    <w:rsid w:val="007A20BF"/>
    <w:rsid w:val="007A2CBA"/>
    <w:rsid w:val="007A3E3C"/>
    <w:rsid w:val="007A4016"/>
    <w:rsid w:val="007A448E"/>
    <w:rsid w:val="007A485F"/>
    <w:rsid w:val="007A4C1D"/>
    <w:rsid w:val="007A5078"/>
    <w:rsid w:val="007A56A4"/>
    <w:rsid w:val="007A576A"/>
    <w:rsid w:val="007A5DB7"/>
    <w:rsid w:val="007A66FC"/>
    <w:rsid w:val="007A69FE"/>
    <w:rsid w:val="007B0222"/>
    <w:rsid w:val="007B281F"/>
    <w:rsid w:val="007B3EEF"/>
    <w:rsid w:val="007B5E6F"/>
    <w:rsid w:val="007B6891"/>
    <w:rsid w:val="007B6D85"/>
    <w:rsid w:val="007C0205"/>
    <w:rsid w:val="007C0665"/>
    <w:rsid w:val="007C0BD2"/>
    <w:rsid w:val="007C1193"/>
    <w:rsid w:val="007C1971"/>
    <w:rsid w:val="007C2AE9"/>
    <w:rsid w:val="007C2AF0"/>
    <w:rsid w:val="007C2DE0"/>
    <w:rsid w:val="007C3432"/>
    <w:rsid w:val="007C62DA"/>
    <w:rsid w:val="007C633C"/>
    <w:rsid w:val="007C71D3"/>
    <w:rsid w:val="007D0003"/>
    <w:rsid w:val="007D024B"/>
    <w:rsid w:val="007D2594"/>
    <w:rsid w:val="007D2FC5"/>
    <w:rsid w:val="007D4381"/>
    <w:rsid w:val="007D6229"/>
    <w:rsid w:val="007D6E70"/>
    <w:rsid w:val="007D71F5"/>
    <w:rsid w:val="007E05FB"/>
    <w:rsid w:val="007E1849"/>
    <w:rsid w:val="007E3191"/>
    <w:rsid w:val="007E3626"/>
    <w:rsid w:val="007E45C7"/>
    <w:rsid w:val="007E4AA5"/>
    <w:rsid w:val="007E7440"/>
    <w:rsid w:val="007F00AD"/>
    <w:rsid w:val="007F0BFF"/>
    <w:rsid w:val="007F10BC"/>
    <w:rsid w:val="007F1248"/>
    <w:rsid w:val="007F192F"/>
    <w:rsid w:val="007F1E1C"/>
    <w:rsid w:val="007F27B9"/>
    <w:rsid w:val="007F36A0"/>
    <w:rsid w:val="007F439B"/>
    <w:rsid w:val="007F57A9"/>
    <w:rsid w:val="008006FC"/>
    <w:rsid w:val="00801627"/>
    <w:rsid w:val="00801A46"/>
    <w:rsid w:val="00801F99"/>
    <w:rsid w:val="0080242D"/>
    <w:rsid w:val="00802C6F"/>
    <w:rsid w:val="00803C5B"/>
    <w:rsid w:val="0080481F"/>
    <w:rsid w:val="008059EE"/>
    <w:rsid w:val="00806240"/>
    <w:rsid w:val="008066F6"/>
    <w:rsid w:val="00807FC5"/>
    <w:rsid w:val="00810D2D"/>
    <w:rsid w:val="00810D88"/>
    <w:rsid w:val="008116D8"/>
    <w:rsid w:val="00815A71"/>
    <w:rsid w:val="00816412"/>
    <w:rsid w:val="00816420"/>
    <w:rsid w:val="00816EF0"/>
    <w:rsid w:val="00817609"/>
    <w:rsid w:val="00817943"/>
    <w:rsid w:val="00820B83"/>
    <w:rsid w:val="00820F5D"/>
    <w:rsid w:val="00821651"/>
    <w:rsid w:val="008227C9"/>
    <w:rsid w:val="00824526"/>
    <w:rsid w:val="00824E44"/>
    <w:rsid w:val="00825359"/>
    <w:rsid w:val="00825A25"/>
    <w:rsid w:val="00825AD3"/>
    <w:rsid w:val="008268B1"/>
    <w:rsid w:val="00826AE4"/>
    <w:rsid w:val="00827735"/>
    <w:rsid w:val="00831C56"/>
    <w:rsid w:val="0083286A"/>
    <w:rsid w:val="00833255"/>
    <w:rsid w:val="0083466E"/>
    <w:rsid w:val="00834D32"/>
    <w:rsid w:val="00834F9D"/>
    <w:rsid w:val="00835A12"/>
    <w:rsid w:val="00835EA8"/>
    <w:rsid w:val="008361F3"/>
    <w:rsid w:val="00836BA2"/>
    <w:rsid w:val="008376F9"/>
    <w:rsid w:val="008408E0"/>
    <w:rsid w:val="008409BE"/>
    <w:rsid w:val="008411CB"/>
    <w:rsid w:val="00841687"/>
    <w:rsid w:val="00841D60"/>
    <w:rsid w:val="00842881"/>
    <w:rsid w:val="00842D98"/>
    <w:rsid w:val="00843362"/>
    <w:rsid w:val="00843F8D"/>
    <w:rsid w:val="00844761"/>
    <w:rsid w:val="0084703A"/>
    <w:rsid w:val="008502D7"/>
    <w:rsid w:val="00850CAE"/>
    <w:rsid w:val="008518BD"/>
    <w:rsid w:val="00851D93"/>
    <w:rsid w:val="0085205D"/>
    <w:rsid w:val="0085240B"/>
    <w:rsid w:val="0085415A"/>
    <w:rsid w:val="00854167"/>
    <w:rsid w:val="00854609"/>
    <w:rsid w:val="0085476C"/>
    <w:rsid w:val="00855437"/>
    <w:rsid w:val="0085584D"/>
    <w:rsid w:val="00855C8D"/>
    <w:rsid w:val="008576BE"/>
    <w:rsid w:val="00861347"/>
    <w:rsid w:val="0086430A"/>
    <w:rsid w:val="00864723"/>
    <w:rsid w:val="00864E0D"/>
    <w:rsid w:val="0086525D"/>
    <w:rsid w:val="00866371"/>
    <w:rsid w:val="00866481"/>
    <w:rsid w:val="008665AE"/>
    <w:rsid w:val="008667BA"/>
    <w:rsid w:val="00867BAC"/>
    <w:rsid w:val="00867C0E"/>
    <w:rsid w:val="00870160"/>
    <w:rsid w:val="008705B4"/>
    <w:rsid w:val="00870654"/>
    <w:rsid w:val="008716FF"/>
    <w:rsid w:val="00872952"/>
    <w:rsid w:val="00873C33"/>
    <w:rsid w:val="00880D25"/>
    <w:rsid w:val="0088201A"/>
    <w:rsid w:val="008822F6"/>
    <w:rsid w:val="0088311A"/>
    <w:rsid w:val="0088356F"/>
    <w:rsid w:val="00884725"/>
    <w:rsid w:val="00885241"/>
    <w:rsid w:val="00887CB7"/>
    <w:rsid w:val="00890175"/>
    <w:rsid w:val="008904DA"/>
    <w:rsid w:val="00890782"/>
    <w:rsid w:val="00892F81"/>
    <w:rsid w:val="00895CFB"/>
    <w:rsid w:val="00896BFB"/>
    <w:rsid w:val="00897F26"/>
    <w:rsid w:val="008A02DF"/>
    <w:rsid w:val="008A18D4"/>
    <w:rsid w:val="008A2933"/>
    <w:rsid w:val="008A4312"/>
    <w:rsid w:val="008A5C1B"/>
    <w:rsid w:val="008A7D53"/>
    <w:rsid w:val="008B01B3"/>
    <w:rsid w:val="008B08CD"/>
    <w:rsid w:val="008B2713"/>
    <w:rsid w:val="008B2AB6"/>
    <w:rsid w:val="008B3FE8"/>
    <w:rsid w:val="008B5252"/>
    <w:rsid w:val="008B622C"/>
    <w:rsid w:val="008B6AC5"/>
    <w:rsid w:val="008B76FA"/>
    <w:rsid w:val="008C0A26"/>
    <w:rsid w:val="008C1714"/>
    <w:rsid w:val="008C2586"/>
    <w:rsid w:val="008C2CFE"/>
    <w:rsid w:val="008C2F99"/>
    <w:rsid w:val="008C4121"/>
    <w:rsid w:val="008C465E"/>
    <w:rsid w:val="008C58C5"/>
    <w:rsid w:val="008C73CE"/>
    <w:rsid w:val="008C78CA"/>
    <w:rsid w:val="008D0907"/>
    <w:rsid w:val="008D1B35"/>
    <w:rsid w:val="008D1EB4"/>
    <w:rsid w:val="008D27DA"/>
    <w:rsid w:val="008D45A9"/>
    <w:rsid w:val="008D4E65"/>
    <w:rsid w:val="008D516C"/>
    <w:rsid w:val="008D57CB"/>
    <w:rsid w:val="008D66FD"/>
    <w:rsid w:val="008D7358"/>
    <w:rsid w:val="008D7EDA"/>
    <w:rsid w:val="008E03AB"/>
    <w:rsid w:val="008E0614"/>
    <w:rsid w:val="008E1079"/>
    <w:rsid w:val="008E153C"/>
    <w:rsid w:val="008E1BE5"/>
    <w:rsid w:val="008E218C"/>
    <w:rsid w:val="008E3C3F"/>
    <w:rsid w:val="008E4D4E"/>
    <w:rsid w:val="008E5F14"/>
    <w:rsid w:val="008E63A8"/>
    <w:rsid w:val="008E68A0"/>
    <w:rsid w:val="008E697E"/>
    <w:rsid w:val="008F0033"/>
    <w:rsid w:val="008F0F55"/>
    <w:rsid w:val="008F2A3A"/>
    <w:rsid w:val="008F2D94"/>
    <w:rsid w:val="008F2E2A"/>
    <w:rsid w:val="008F3A12"/>
    <w:rsid w:val="008F3F2D"/>
    <w:rsid w:val="008F68B6"/>
    <w:rsid w:val="008F767C"/>
    <w:rsid w:val="00900DAA"/>
    <w:rsid w:val="00901C5E"/>
    <w:rsid w:val="00902C6F"/>
    <w:rsid w:val="00903EF9"/>
    <w:rsid w:val="00903F24"/>
    <w:rsid w:val="009045D1"/>
    <w:rsid w:val="0090482E"/>
    <w:rsid w:val="00904B79"/>
    <w:rsid w:val="0090531B"/>
    <w:rsid w:val="009054FC"/>
    <w:rsid w:val="00905F1C"/>
    <w:rsid w:val="009066D1"/>
    <w:rsid w:val="00906D0A"/>
    <w:rsid w:val="00906E82"/>
    <w:rsid w:val="009071EF"/>
    <w:rsid w:val="00907B94"/>
    <w:rsid w:val="009118A4"/>
    <w:rsid w:val="00913A13"/>
    <w:rsid w:val="00914C3B"/>
    <w:rsid w:val="0091554A"/>
    <w:rsid w:val="00915A33"/>
    <w:rsid w:val="00915ED6"/>
    <w:rsid w:val="009169E0"/>
    <w:rsid w:val="00922A91"/>
    <w:rsid w:val="00922EC6"/>
    <w:rsid w:val="00923EC2"/>
    <w:rsid w:val="0092566A"/>
    <w:rsid w:val="0092586C"/>
    <w:rsid w:val="00925D4F"/>
    <w:rsid w:val="00926077"/>
    <w:rsid w:val="009268ED"/>
    <w:rsid w:val="00926DC5"/>
    <w:rsid w:val="00927828"/>
    <w:rsid w:val="009278E1"/>
    <w:rsid w:val="00927925"/>
    <w:rsid w:val="00931AEE"/>
    <w:rsid w:val="00933937"/>
    <w:rsid w:val="0093601F"/>
    <w:rsid w:val="0093637D"/>
    <w:rsid w:val="00936D04"/>
    <w:rsid w:val="009377D9"/>
    <w:rsid w:val="00937D49"/>
    <w:rsid w:val="00940D09"/>
    <w:rsid w:val="0094201F"/>
    <w:rsid w:val="009428C1"/>
    <w:rsid w:val="00942B0F"/>
    <w:rsid w:val="00942BE6"/>
    <w:rsid w:val="0094310A"/>
    <w:rsid w:val="009455BF"/>
    <w:rsid w:val="00945B66"/>
    <w:rsid w:val="009474DD"/>
    <w:rsid w:val="00947B27"/>
    <w:rsid w:val="00952181"/>
    <w:rsid w:val="00952B9E"/>
    <w:rsid w:val="00955E3C"/>
    <w:rsid w:val="009609A5"/>
    <w:rsid w:val="0096195E"/>
    <w:rsid w:val="00963888"/>
    <w:rsid w:val="00964443"/>
    <w:rsid w:val="00971FCE"/>
    <w:rsid w:val="00973724"/>
    <w:rsid w:val="009749B0"/>
    <w:rsid w:val="00975E69"/>
    <w:rsid w:val="009760FD"/>
    <w:rsid w:val="009822A2"/>
    <w:rsid w:val="009828CA"/>
    <w:rsid w:val="009830B5"/>
    <w:rsid w:val="00983D17"/>
    <w:rsid w:val="00983F7C"/>
    <w:rsid w:val="00985109"/>
    <w:rsid w:val="00985CFF"/>
    <w:rsid w:val="00986340"/>
    <w:rsid w:val="00990154"/>
    <w:rsid w:val="00990757"/>
    <w:rsid w:val="00990D3B"/>
    <w:rsid w:val="0099298C"/>
    <w:rsid w:val="009939E9"/>
    <w:rsid w:val="00993EBD"/>
    <w:rsid w:val="00997A7D"/>
    <w:rsid w:val="009A24B9"/>
    <w:rsid w:val="009A3BCA"/>
    <w:rsid w:val="009A539A"/>
    <w:rsid w:val="009A63F2"/>
    <w:rsid w:val="009A6CA3"/>
    <w:rsid w:val="009B27D4"/>
    <w:rsid w:val="009B2E57"/>
    <w:rsid w:val="009B3992"/>
    <w:rsid w:val="009B3D5B"/>
    <w:rsid w:val="009B4139"/>
    <w:rsid w:val="009B4DC3"/>
    <w:rsid w:val="009B569A"/>
    <w:rsid w:val="009C01FE"/>
    <w:rsid w:val="009C10BA"/>
    <w:rsid w:val="009C3AA9"/>
    <w:rsid w:val="009C5B06"/>
    <w:rsid w:val="009C5EB9"/>
    <w:rsid w:val="009C5FA2"/>
    <w:rsid w:val="009C6173"/>
    <w:rsid w:val="009D12BA"/>
    <w:rsid w:val="009D162E"/>
    <w:rsid w:val="009D1A29"/>
    <w:rsid w:val="009D1DBD"/>
    <w:rsid w:val="009D2425"/>
    <w:rsid w:val="009D5A46"/>
    <w:rsid w:val="009D6934"/>
    <w:rsid w:val="009D7441"/>
    <w:rsid w:val="009D79B2"/>
    <w:rsid w:val="009E15B7"/>
    <w:rsid w:val="009E27F1"/>
    <w:rsid w:val="009E35CC"/>
    <w:rsid w:val="009E35D5"/>
    <w:rsid w:val="009E41A5"/>
    <w:rsid w:val="009E473B"/>
    <w:rsid w:val="009E5629"/>
    <w:rsid w:val="009E614A"/>
    <w:rsid w:val="009E6673"/>
    <w:rsid w:val="009E6FF0"/>
    <w:rsid w:val="009E7945"/>
    <w:rsid w:val="009E7EC5"/>
    <w:rsid w:val="009F0902"/>
    <w:rsid w:val="009F156D"/>
    <w:rsid w:val="009F18FD"/>
    <w:rsid w:val="009F2612"/>
    <w:rsid w:val="009F341C"/>
    <w:rsid w:val="009F3D92"/>
    <w:rsid w:val="009F44AD"/>
    <w:rsid w:val="009F49EA"/>
    <w:rsid w:val="009F59F0"/>
    <w:rsid w:val="009F5CD2"/>
    <w:rsid w:val="009F6906"/>
    <w:rsid w:val="00A008BE"/>
    <w:rsid w:val="00A00C8F"/>
    <w:rsid w:val="00A01DBF"/>
    <w:rsid w:val="00A023B3"/>
    <w:rsid w:val="00A02B15"/>
    <w:rsid w:val="00A03530"/>
    <w:rsid w:val="00A03E1D"/>
    <w:rsid w:val="00A04D1B"/>
    <w:rsid w:val="00A06C84"/>
    <w:rsid w:val="00A07FC2"/>
    <w:rsid w:val="00A10AA6"/>
    <w:rsid w:val="00A136A4"/>
    <w:rsid w:val="00A14BA4"/>
    <w:rsid w:val="00A156AB"/>
    <w:rsid w:val="00A1695F"/>
    <w:rsid w:val="00A17D0F"/>
    <w:rsid w:val="00A20B6E"/>
    <w:rsid w:val="00A20E6F"/>
    <w:rsid w:val="00A2185A"/>
    <w:rsid w:val="00A223D4"/>
    <w:rsid w:val="00A23171"/>
    <w:rsid w:val="00A2350A"/>
    <w:rsid w:val="00A249F0"/>
    <w:rsid w:val="00A24B08"/>
    <w:rsid w:val="00A25DB0"/>
    <w:rsid w:val="00A2700E"/>
    <w:rsid w:val="00A32ADE"/>
    <w:rsid w:val="00A333BE"/>
    <w:rsid w:val="00A3367A"/>
    <w:rsid w:val="00A343F6"/>
    <w:rsid w:val="00A34C65"/>
    <w:rsid w:val="00A35531"/>
    <w:rsid w:val="00A3620F"/>
    <w:rsid w:val="00A368AC"/>
    <w:rsid w:val="00A36DD0"/>
    <w:rsid w:val="00A40577"/>
    <w:rsid w:val="00A4138D"/>
    <w:rsid w:val="00A41F1C"/>
    <w:rsid w:val="00A432C5"/>
    <w:rsid w:val="00A43BDB"/>
    <w:rsid w:val="00A44073"/>
    <w:rsid w:val="00A44D53"/>
    <w:rsid w:val="00A45EF6"/>
    <w:rsid w:val="00A5076F"/>
    <w:rsid w:val="00A51F97"/>
    <w:rsid w:val="00A55291"/>
    <w:rsid w:val="00A5539A"/>
    <w:rsid w:val="00A55AF8"/>
    <w:rsid w:val="00A607F4"/>
    <w:rsid w:val="00A617B4"/>
    <w:rsid w:val="00A61A87"/>
    <w:rsid w:val="00A61D04"/>
    <w:rsid w:val="00A6267B"/>
    <w:rsid w:val="00A62784"/>
    <w:rsid w:val="00A62D95"/>
    <w:rsid w:val="00A6367B"/>
    <w:rsid w:val="00A6370D"/>
    <w:rsid w:val="00A668B4"/>
    <w:rsid w:val="00A674E0"/>
    <w:rsid w:val="00A676FA"/>
    <w:rsid w:val="00A678F5"/>
    <w:rsid w:val="00A67DD8"/>
    <w:rsid w:val="00A7082E"/>
    <w:rsid w:val="00A717A0"/>
    <w:rsid w:val="00A727AD"/>
    <w:rsid w:val="00A73148"/>
    <w:rsid w:val="00A73828"/>
    <w:rsid w:val="00A73EAD"/>
    <w:rsid w:val="00A74728"/>
    <w:rsid w:val="00A74EE8"/>
    <w:rsid w:val="00A74F05"/>
    <w:rsid w:val="00A76C68"/>
    <w:rsid w:val="00A77146"/>
    <w:rsid w:val="00A83261"/>
    <w:rsid w:val="00A83459"/>
    <w:rsid w:val="00A8390B"/>
    <w:rsid w:val="00A845BF"/>
    <w:rsid w:val="00A84BBF"/>
    <w:rsid w:val="00A87007"/>
    <w:rsid w:val="00A876ED"/>
    <w:rsid w:val="00A87C93"/>
    <w:rsid w:val="00A87DDF"/>
    <w:rsid w:val="00A90413"/>
    <w:rsid w:val="00A9163B"/>
    <w:rsid w:val="00A92B95"/>
    <w:rsid w:val="00A93F36"/>
    <w:rsid w:val="00A97516"/>
    <w:rsid w:val="00A97896"/>
    <w:rsid w:val="00A97BE4"/>
    <w:rsid w:val="00AA03EF"/>
    <w:rsid w:val="00AA05CB"/>
    <w:rsid w:val="00AA2932"/>
    <w:rsid w:val="00AA39DC"/>
    <w:rsid w:val="00AA4B5A"/>
    <w:rsid w:val="00AA4CAC"/>
    <w:rsid w:val="00AA4D1F"/>
    <w:rsid w:val="00AA5BF7"/>
    <w:rsid w:val="00AA6BD1"/>
    <w:rsid w:val="00AA7A14"/>
    <w:rsid w:val="00AA7C1D"/>
    <w:rsid w:val="00AB040D"/>
    <w:rsid w:val="00AB08D9"/>
    <w:rsid w:val="00AB1D0F"/>
    <w:rsid w:val="00AB2625"/>
    <w:rsid w:val="00AB3090"/>
    <w:rsid w:val="00AB3829"/>
    <w:rsid w:val="00AB3873"/>
    <w:rsid w:val="00AB586B"/>
    <w:rsid w:val="00AB65D9"/>
    <w:rsid w:val="00AC04BB"/>
    <w:rsid w:val="00AC116E"/>
    <w:rsid w:val="00AC25BC"/>
    <w:rsid w:val="00AC38E9"/>
    <w:rsid w:val="00AC3A69"/>
    <w:rsid w:val="00AC3F2B"/>
    <w:rsid w:val="00AC43AE"/>
    <w:rsid w:val="00AC5716"/>
    <w:rsid w:val="00AC6EB4"/>
    <w:rsid w:val="00AC78BA"/>
    <w:rsid w:val="00AC7A04"/>
    <w:rsid w:val="00AD049C"/>
    <w:rsid w:val="00AD0564"/>
    <w:rsid w:val="00AD386E"/>
    <w:rsid w:val="00AD3E49"/>
    <w:rsid w:val="00AD45E3"/>
    <w:rsid w:val="00AD4CA4"/>
    <w:rsid w:val="00AD5433"/>
    <w:rsid w:val="00AD668F"/>
    <w:rsid w:val="00AD7361"/>
    <w:rsid w:val="00AD748D"/>
    <w:rsid w:val="00AD7A57"/>
    <w:rsid w:val="00AE0837"/>
    <w:rsid w:val="00AE22B5"/>
    <w:rsid w:val="00AE2620"/>
    <w:rsid w:val="00AE26A5"/>
    <w:rsid w:val="00AE332B"/>
    <w:rsid w:val="00AE6749"/>
    <w:rsid w:val="00AE6BCF"/>
    <w:rsid w:val="00AF073E"/>
    <w:rsid w:val="00AF20A3"/>
    <w:rsid w:val="00AF42FB"/>
    <w:rsid w:val="00AF435C"/>
    <w:rsid w:val="00AF6790"/>
    <w:rsid w:val="00AF6B9A"/>
    <w:rsid w:val="00B03A60"/>
    <w:rsid w:val="00B04E1E"/>
    <w:rsid w:val="00B05288"/>
    <w:rsid w:val="00B05401"/>
    <w:rsid w:val="00B06E0F"/>
    <w:rsid w:val="00B0768F"/>
    <w:rsid w:val="00B103D0"/>
    <w:rsid w:val="00B10729"/>
    <w:rsid w:val="00B11E43"/>
    <w:rsid w:val="00B11F19"/>
    <w:rsid w:val="00B127DF"/>
    <w:rsid w:val="00B135C9"/>
    <w:rsid w:val="00B13764"/>
    <w:rsid w:val="00B13F48"/>
    <w:rsid w:val="00B150C5"/>
    <w:rsid w:val="00B151CF"/>
    <w:rsid w:val="00B15535"/>
    <w:rsid w:val="00B16BC0"/>
    <w:rsid w:val="00B16CB7"/>
    <w:rsid w:val="00B177B8"/>
    <w:rsid w:val="00B2008F"/>
    <w:rsid w:val="00B21CBC"/>
    <w:rsid w:val="00B22CA2"/>
    <w:rsid w:val="00B230EE"/>
    <w:rsid w:val="00B23EB5"/>
    <w:rsid w:val="00B242B5"/>
    <w:rsid w:val="00B24337"/>
    <w:rsid w:val="00B25960"/>
    <w:rsid w:val="00B259E9"/>
    <w:rsid w:val="00B262C1"/>
    <w:rsid w:val="00B272D9"/>
    <w:rsid w:val="00B307E7"/>
    <w:rsid w:val="00B30A8C"/>
    <w:rsid w:val="00B3245B"/>
    <w:rsid w:val="00B33E0C"/>
    <w:rsid w:val="00B33EE5"/>
    <w:rsid w:val="00B33F13"/>
    <w:rsid w:val="00B34607"/>
    <w:rsid w:val="00B34B74"/>
    <w:rsid w:val="00B35324"/>
    <w:rsid w:val="00B35C70"/>
    <w:rsid w:val="00B36C2B"/>
    <w:rsid w:val="00B37C26"/>
    <w:rsid w:val="00B400BD"/>
    <w:rsid w:val="00B414E7"/>
    <w:rsid w:val="00B45DD4"/>
    <w:rsid w:val="00B46990"/>
    <w:rsid w:val="00B46EB9"/>
    <w:rsid w:val="00B46F2B"/>
    <w:rsid w:val="00B4764F"/>
    <w:rsid w:val="00B47EDA"/>
    <w:rsid w:val="00B523EB"/>
    <w:rsid w:val="00B528BE"/>
    <w:rsid w:val="00B53AFB"/>
    <w:rsid w:val="00B542AD"/>
    <w:rsid w:val="00B559F6"/>
    <w:rsid w:val="00B559FB"/>
    <w:rsid w:val="00B55C02"/>
    <w:rsid w:val="00B562BC"/>
    <w:rsid w:val="00B5765C"/>
    <w:rsid w:val="00B57DA9"/>
    <w:rsid w:val="00B602E8"/>
    <w:rsid w:val="00B63A10"/>
    <w:rsid w:val="00B63A29"/>
    <w:rsid w:val="00B64A35"/>
    <w:rsid w:val="00B64D8D"/>
    <w:rsid w:val="00B6574D"/>
    <w:rsid w:val="00B65C1E"/>
    <w:rsid w:val="00B66F23"/>
    <w:rsid w:val="00B705CE"/>
    <w:rsid w:val="00B71982"/>
    <w:rsid w:val="00B719CD"/>
    <w:rsid w:val="00B71BBB"/>
    <w:rsid w:val="00B71DD1"/>
    <w:rsid w:val="00B721E8"/>
    <w:rsid w:val="00B72C20"/>
    <w:rsid w:val="00B73B71"/>
    <w:rsid w:val="00B75792"/>
    <w:rsid w:val="00B76FC2"/>
    <w:rsid w:val="00B806DA"/>
    <w:rsid w:val="00B81ED7"/>
    <w:rsid w:val="00B82596"/>
    <w:rsid w:val="00B836CF"/>
    <w:rsid w:val="00B83808"/>
    <w:rsid w:val="00B864F3"/>
    <w:rsid w:val="00B90CE1"/>
    <w:rsid w:val="00B90F0C"/>
    <w:rsid w:val="00B916B8"/>
    <w:rsid w:val="00B918B6"/>
    <w:rsid w:val="00B91B19"/>
    <w:rsid w:val="00B9224B"/>
    <w:rsid w:val="00B933E7"/>
    <w:rsid w:val="00B945AE"/>
    <w:rsid w:val="00B95058"/>
    <w:rsid w:val="00B96AC3"/>
    <w:rsid w:val="00B96CB5"/>
    <w:rsid w:val="00B96FB2"/>
    <w:rsid w:val="00B974D9"/>
    <w:rsid w:val="00BA0363"/>
    <w:rsid w:val="00BA0F5B"/>
    <w:rsid w:val="00BA0F64"/>
    <w:rsid w:val="00BA6015"/>
    <w:rsid w:val="00BA72BA"/>
    <w:rsid w:val="00BA7F5E"/>
    <w:rsid w:val="00BB0736"/>
    <w:rsid w:val="00BB098E"/>
    <w:rsid w:val="00BB1408"/>
    <w:rsid w:val="00BB15EC"/>
    <w:rsid w:val="00BB1CD2"/>
    <w:rsid w:val="00BB1D77"/>
    <w:rsid w:val="00BB2BF8"/>
    <w:rsid w:val="00BB335B"/>
    <w:rsid w:val="00BB3EA0"/>
    <w:rsid w:val="00BB450E"/>
    <w:rsid w:val="00BB59F8"/>
    <w:rsid w:val="00BB6360"/>
    <w:rsid w:val="00BC0B8D"/>
    <w:rsid w:val="00BC143B"/>
    <w:rsid w:val="00BC17A7"/>
    <w:rsid w:val="00BC286F"/>
    <w:rsid w:val="00BC2FB4"/>
    <w:rsid w:val="00BC349E"/>
    <w:rsid w:val="00BC3E4B"/>
    <w:rsid w:val="00BC409A"/>
    <w:rsid w:val="00BC4D25"/>
    <w:rsid w:val="00BC5DAA"/>
    <w:rsid w:val="00BC6075"/>
    <w:rsid w:val="00BD05B8"/>
    <w:rsid w:val="00BD19B3"/>
    <w:rsid w:val="00BD3EB5"/>
    <w:rsid w:val="00BD4A40"/>
    <w:rsid w:val="00BD6067"/>
    <w:rsid w:val="00BD685B"/>
    <w:rsid w:val="00BD6DC9"/>
    <w:rsid w:val="00BD739E"/>
    <w:rsid w:val="00BE1B37"/>
    <w:rsid w:val="00BE1E81"/>
    <w:rsid w:val="00BE2E10"/>
    <w:rsid w:val="00BE2F81"/>
    <w:rsid w:val="00BE4771"/>
    <w:rsid w:val="00BE4E75"/>
    <w:rsid w:val="00BE4ECF"/>
    <w:rsid w:val="00BE6415"/>
    <w:rsid w:val="00BE6599"/>
    <w:rsid w:val="00BF18E4"/>
    <w:rsid w:val="00BF1EDE"/>
    <w:rsid w:val="00BF2CDF"/>
    <w:rsid w:val="00BF3E1B"/>
    <w:rsid w:val="00BF4EDC"/>
    <w:rsid w:val="00BF59F1"/>
    <w:rsid w:val="00BF7A50"/>
    <w:rsid w:val="00BF7B0D"/>
    <w:rsid w:val="00C01090"/>
    <w:rsid w:val="00C03A82"/>
    <w:rsid w:val="00C041DF"/>
    <w:rsid w:val="00C053FB"/>
    <w:rsid w:val="00C0618C"/>
    <w:rsid w:val="00C07778"/>
    <w:rsid w:val="00C07996"/>
    <w:rsid w:val="00C07F68"/>
    <w:rsid w:val="00C1053A"/>
    <w:rsid w:val="00C116EB"/>
    <w:rsid w:val="00C20EC8"/>
    <w:rsid w:val="00C21531"/>
    <w:rsid w:val="00C2192C"/>
    <w:rsid w:val="00C228AF"/>
    <w:rsid w:val="00C22B3E"/>
    <w:rsid w:val="00C23264"/>
    <w:rsid w:val="00C236E9"/>
    <w:rsid w:val="00C24841"/>
    <w:rsid w:val="00C2512C"/>
    <w:rsid w:val="00C32780"/>
    <w:rsid w:val="00C338D9"/>
    <w:rsid w:val="00C35A64"/>
    <w:rsid w:val="00C36B9A"/>
    <w:rsid w:val="00C376D2"/>
    <w:rsid w:val="00C42C13"/>
    <w:rsid w:val="00C43AA7"/>
    <w:rsid w:val="00C440F7"/>
    <w:rsid w:val="00C448A2"/>
    <w:rsid w:val="00C4549A"/>
    <w:rsid w:val="00C454F2"/>
    <w:rsid w:val="00C46870"/>
    <w:rsid w:val="00C47D6D"/>
    <w:rsid w:val="00C509F4"/>
    <w:rsid w:val="00C51BE2"/>
    <w:rsid w:val="00C51C72"/>
    <w:rsid w:val="00C522B0"/>
    <w:rsid w:val="00C559C1"/>
    <w:rsid w:val="00C56363"/>
    <w:rsid w:val="00C5776D"/>
    <w:rsid w:val="00C57D2A"/>
    <w:rsid w:val="00C60A22"/>
    <w:rsid w:val="00C60EDA"/>
    <w:rsid w:val="00C60FA9"/>
    <w:rsid w:val="00C61149"/>
    <w:rsid w:val="00C62052"/>
    <w:rsid w:val="00C6233A"/>
    <w:rsid w:val="00C62DC9"/>
    <w:rsid w:val="00C67A3A"/>
    <w:rsid w:val="00C67AE5"/>
    <w:rsid w:val="00C7030C"/>
    <w:rsid w:val="00C7116B"/>
    <w:rsid w:val="00C716AE"/>
    <w:rsid w:val="00C718FD"/>
    <w:rsid w:val="00C7202D"/>
    <w:rsid w:val="00C72274"/>
    <w:rsid w:val="00C75702"/>
    <w:rsid w:val="00C75717"/>
    <w:rsid w:val="00C7681D"/>
    <w:rsid w:val="00C7725D"/>
    <w:rsid w:val="00C774F2"/>
    <w:rsid w:val="00C804AB"/>
    <w:rsid w:val="00C83CBC"/>
    <w:rsid w:val="00C8558F"/>
    <w:rsid w:val="00C857C3"/>
    <w:rsid w:val="00C86085"/>
    <w:rsid w:val="00C86664"/>
    <w:rsid w:val="00C86F76"/>
    <w:rsid w:val="00C87486"/>
    <w:rsid w:val="00C87E7C"/>
    <w:rsid w:val="00C907A8"/>
    <w:rsid w:val="00C91291"/>
    <w:rsid w:val="00C920E9"/>
    <w:rsid w:val="00C9430B"/>
    <w:rsid w:val="00C94F6C"/>
    <w:rsid w:val="00C957E1"/>
    <w:rsid w:val="00C9707E"/>
    <w:rsid w:val="00C976EA"/>
    <w:rsid w:val="00C978C0"/>
    <w:rsid w:val="00CA02C4"/>
    <w:rsid w:val="00CA26C9"/>
    <w:rsid w:val="00CA40DF"/>
    <w:rsid w:val="00CA4574"/>
    <w:rsid w:val="00CA4DDB"/>
    <w:rsid w:val="00CA74D0"/>
    <w:rsid w:val="00CA7862"/>
    <w:rsid w:val="00CA7932"/>
    <w:rsid w:val="00CA7F0B"/>
    <w:rsid w:val="00CB03EF"/>
    <w:rsid w:val="00CB0508"/>
    <w:rsid w:val="00CB071B"/>
    <w:rsid w:val="00CB2400"/>
    <w:rsid w:val="00CB43E4"/>
    <w:rsid w:val="00CB7946"/>
    <w:rsid w:val="00CB7B79"/>
    <w:rsid w:val="00CB7E0B"/>
    <w:rsid w:val="00CC0DF3"/>
    <w:rsid w:val="00CC0E92"/>
    <w:rsid w:val="00CC11A1"/>
    <w:rsid w:val="00CC158F"/>
    <w:rsid w:val="00CC2259"/>
    <w:rsid w:val="00CC3CA2"/>
    <w:rsid w:val="00CC451A"/>
    <w:rsid w:val="00CC463D"/>
    <w:rsid w:val="00CC4B70"/>
    <w:rsid w:val="00CC5EE9"/>
    <w:rsid w:val="00CC6737"/>
    <w:rsid w:val="00CD199D"/>
    <w:rsid w:val="00CD21F9"/>
    <w:rsid w:val="00CD50AB"/>
    <w:rsid w:val="00CD62AB"/>
    <w:rsid w:val="00CD6376"/>
    <w:rsid w:val="00CD65E2"/>
    <w:rsid w:val="00CD67EF"/>
    <w:rsid w:val="00CD6BB4"/>
    <w:rsid w:val="00CD7476"/>
    <w:rsid w:val="00CE04AB"/>
    <w:rsid w:val="00CE1368"/>
    <w:rsid w:val="00CE2656"/>
    <w:rsid w:val="00CE3691"/>
    <w:rsid w:val="00CE3AFC"/>
    <w:rsid w:val="00CE3C43"/>
    <w:rsid w:val="00CE4F71"/>
    <w:rsid w:val="00CF0976"/>
    <w:rsid w:val="00CF0D17"/>
    <w:rsid w:val="00CF1AF8"/>
    <w:rsid w:val="00CF415A"/>
    <w:rsid w:val="00CF4546"/>
    <w:rsid w:val="00CF4A9B"/>
    <w:rsid w:val="00CF74B2"/>
    <w:rsid w:val="00CF7C70"/>
    <w:rsid w:val="00CF7DA4"/>
    <w:rsid w:val="00D00782"/>
    <w:rsid w:val="00D00DCB"/>
    <w:rsid w:val="00D00F4F"/>
    <w:rsid w:val="00D01256"/>
    <w:rsid w:val="00D01300"/>
    <w:rsid w:val="00D02AC8"/>
    <w:rsid w:val="00D02E9F"/>
    <w:rsid w:val="00D039D4"/>
    <w:rsid w:val="00D03BEA"/>
    <w:rsid w:val="00D03E51"/>
    <w:rsid w:val="00D04BA5"/>
    <w:rsid w:val="00D05949"/>
    <w:rsid w:val="00D06227"/>
    <w:rsid w:val="00D065EF"/>
    <w:rsid w:val="00D06CB5"/>
    <w:rsid w:val="00D110BF"/>
    <w:rsid w:val="00D11208"/>
    <w:rsid w:val="00D11D6F"/>
    <w:rsid w:val="00D12DAB"/>
    <w:rsid w:val="00D1361B"/>
    <w:rsid w:val="00D1392C"/>
    <w:rsid w:val="00D13D4D"/>
    <w:rsid w:val="00D144A3"/>
    <w:rsid w:val="00D14A07"/>
    <w:rsid w:val="00D14CE9"/>
    <w:rsid w:val="00D15591"/>
    <w:rsid w:val="00D15BCB"/>
    <w:rsid w:val="00D1742B"/>
    <w:rsid w:val="00D17BAB"/>
    <w:rsid w:val="00D205CC"/>
    <w:rsid w:val="00D20893"/>
    <w:rsid w:val="00D216B7"/>
    <w:rsid w:val="00D21A03"/>
    <w:rsid w:val="00D22653"/>
    <w:rsid w:val="00D239A3"/>
    <w:rsid w:val="00D23C86"/>
    <w:rsid w:val="00D23F72"/>
    <w:rsid w:val="00D24AC8"/>
    <w:rsid w:val="00D25A7D"/>
    <w:rsid w:val="00D26F0A"/>
    <w:rsid w:val="00D318AA"/>
    <w:rsid w:val="00D325B0"/>
    <w:rsid w:val="00D32827"/>
    <w:rsid w:val="00D32BBD"/>
    <w:rsid w:val="00D33A51"/>
    <w:rsid w:val="00D33BF4"/>
    <w:rsid w:val="00D3423D"/>
    <w:rsid w:val="00D40852"/>
    <w:rsid w:val="00D41404"/>
    <w:rsid w:val="00D41D52"/>
    <w:rsid w:val="00D4225A"/>
    <w:rsid w:val="00D42697"/>
    <w:rsid w:val="00D44DD9"/>
    <w:rsid w:val="00D45B2A"/>
    <w:rsid w:val="00D47206"/>
    <w:rsid w:val="00D473C8"/>
    <w:rsid w:val="00D50287"/>
    <w:rsid w:val="00D5045C"/>
    <w:rsid w:val="00D504BB"/>
    <w:rsid w:val="00D505A0"/>
    <w:rsid w:val="00D50A30"/>
    <w:rsid w:val="00D5132B"/>
    <w:rsid w:val="00D546A8"/>
    <w:rsid w:val="00D5520E"/>
    <w:rsid w:val="00D556CD"/>
    <w:rsid w:val="00D57264"/>
    <w:rsid w:val="00D5780E"/>
    <w:rsid w:val="00D609C6"/>
    <w:rsid w:val="00D613AF"/>
    <w:rsid w:val="00D62134"/>
    <w:rsid w:val="00D63E8D"/>
    <w:rsid w:val="00D642D4"/>
    <w:rsid w:val="00D6535A"/>
    <w:rsid w:val="00D65C14"/>
    <w:rsid w:val="00D65F68"/>
    <w:rsid w:val="00D66222"/>
    <w:rsid w:val="00D66BA5"/>
    <w:rsid w:val="00D70560"/>
    <w:rsid w:val="00D70F38"/>
    <w:rsid w:val="00D70F3B"/>
    <w:rsid w:val="00D71325"/>
    <w:rsid w:val="00D71E17"/>
    <w:rsid w:val="00D72CD0"/>
    <w:rsid w:val="00D74C1B"/>
    <w:rsid w:val="00D74EE1"/>
    <w:rsid w:val="00D758B4"/>
    <w:rsid w:val="00D75B75"/>
    <w:rsid w:val="00D80A65"/>
    <w:rsid w:val="00D80AD9"/>
    <w:rsid w:val="00D80DA6"/>
    <w:rsid w:val="00D812B9"/>
    <w:rsid w:val="00D81943"/>
    <w:rsid w:val="00D828D6"/>
    <w:rsid w:val="00D83FC2"/>
    <w:rsid w:val="00D85D6C"/>
    <w:rsid w:val="00D8602A"/>
    <w:rsid w:val="00D87B01"/>
    <w:rsid w:val="00D90134"/>
    <w:rsid w:val="00D901A7"/>
    <w:rsid w:val="00D91448"/>
    <w:rsid w:val="00D91C36"/>
    <w:rsid w:val="00D92E4B"/>
    <w:rsid w:val="00D939F2"/>
    <w:rsid w:val="00D946A7"/>
    <w:rsid w:val="00D95183"/>
    <w:rsid w:val="00D956ED"/>
    <w:rsid w:val="00D96893"/>
    <w:rsid w:val="00DA1974"/>
    <w:rsid w:val="00DA2E38"/>
    <w:rsid w:val="00DA3270"/>
    <w:rsid w:val="00DA4396"/>
    <w:rsid w:val="00DA458C"/>
    <w:rsid w:val="00DA5FBB"/>
    <w:rsid w:val="00DA6243"/>
    <w:rsid w:val="00DA7111"/>
    <w:rsid w:val="00DB00C0"/>
    <w:rsid w:val="00DB1EBF"/>
    <w:rsid w:val="00DB1FE7"/>
    <w:rsid w:val="00DB3019"/>
    <w:rsid w:val="00DB5B4E"/>
    <w:rsid w:val="00DB5C80"/>
    <w:rsid w:val="00DB6554"/>
    <w:rsid w:val="00DB7C01"/>
    <w:rsid w:val="00DB7DB8"/>
    <w:rsid w:val="00DC0A0A"/>
    <w:rsid w:val="00DC0ED7"/>
    <w:rsid w:val="00DC2EC9"/>
    <w:rsid w:val="00DC3212"/>
    <w:rsid w:val="00DC4664"/>
    <w:rsid w:val="00DC4776"/>
    <w:rsid w:val="00DC5067"/>
    <w:rsid w:val="00DC5FB3"/>
    <w:rsid w:val="00DD0AF4"/>
    <w:rsid w:val="00DD0FC1"/>
    <w:rsid w:val="00DD154D"/>
    <w:rsid w:val="00DD21D1"/>
    <w:rsid w:val="00DD2410"/>
    <w:rsid w:val="00DD45C0"/>
    <w:rsid w:val="00DD4E24"/>
    <w:rsid w:val="00DD5A2B"/>
    <w:rsid w:val="00DD65FC"/>
    <w:rsid w:val="00DD66D3"/>
    <w:rsid w:val="00DD692A"/>
    <w:rsid w:val="00DD7E50"/>
    <w:rsid w:val="00DD7FFA"/>
    <w:rsid w:val="00DE1A51"/>
    <w:rsid w:val="00DE29CE"/>
    <w:rsid w:val="00DE2CFE"/>
    <w:rsid w:val="00DE341D"/>
    <w:rsid w:val="00DE3A35"/>
    <w:rsid w:val="00DE47DE"/>
    <w:rsid w:val="00DE4AE8"/>
    <w:rsid w:val="00DE4DD8"/>
    <w:rsid w:val="00DE50A4"/>
    <w:rsid w:val="00DE545C"/>
    <w:rsid w:val="00DE59A9"/>
    <w:rsid w:val="00DE62DC"/>
    <w:rsid w:val="00DE67CD"/>
    <w:rsid w:val="00DE70C3"/>
    <w:rsid w:val="00DE7E7A"/>
    <w:rsid w:val="00DE7F7F"/>
    <w:rsid w:val="00DF0254"/>
    <w:rsid w:val="00DF0542"/>
    <w:rsid w:val="00DF0C67"/>
    <w:rsid w:val="00DF0EF7"/>
    <w:rsid w:val="00DF1017"/>
    <w:rsid w:val="00DF15AC"/>
    <w:rsid w:val="00DF1914"/>
    <w:rsid w:val="00DF28E1"/>
    <w:rsid w:val="00DF38D2"/>
    <w:rsid w:val="00DF4163"/>
    <w:rsid w:val="00DF48C7"/>
    <w:rsid w:val="00DF49B2"/>
    <w:rsid w:val="00DF57CD"/>
    <w:rsid w:val="00DF7B0E"/>
    <w:rsid w:val="00E00560"/>
    <w:rsid w:val="00E005B6"/>
    <w:rsid w:val="00E00901"/>
    <w:rsid w:val="00E014AE"/>
    <w:rsid w:val="00E01D0A"/>
    <w:rsid w:val="00E02C82"/>
    <w:rsid w:val="00E02E8B"/>
    <w:rsid w:val="00E02FB0"/>
    <w:rsid w:val="00E0494F"/>
    <w:rsid w:val="00E049CA"/>
    <w:rsid w:val="00E04A15"/>
    <w:rsid w:val="00E06D46"/>
    <w:rsid w:val="00E070B8"/>
    <w:rsid w:val="00E070BB"/>
    <w:rsid w:val="00E106D1"/>
    <w:rsid w:val="00E10DC4"/>
    <w:rsid w:val="00E11312"/>
    <w:rsid w:val="00E12E27"/>
    <w:rsid w:val="00E146A7"/>
    <w:rsid w:val="00E15834"/>
    <w:rsid w:val="00E15FBE"/>
    <w:rsid w:val="00E161B9"/>
    <w:rsid w:val="00E16563"/>
    <w:rsid w:val="00E1728E"/>
    <w:rsid w:val="00E2004B"/>
    <w:rsid w:val="00E200ED"/>
    <w:rsid w:val="00E202FF"/>
    <w:rsid w:val="00E22160"/>
    <w:rsid w:val="00E22C4D"/>
    <w:rsid w:val="00E22C60"/>
    <w:rsid w:val="00E247EA"/>
    <w:rsid w:val="00E24829"/>
    <w:rsid w:val="00E248D2"/>
    <w:rsid w:val="00E2535C"/>
    <w:rsid w:val="00E25B5B"/>
    <w:rsid w:val="00E25FC7"/>
    <w:rsid w:val="00E26BDE"/>
    <w:rsid w:val="00E271A0"/>
    <w:rsid w:val="00E32AA8"/>
    <w:rsid w:val="00E334D9"/>
    <w:rsid w:val="00E345E6"/>
    <w:rsid w:val="00E35634"/>
    <w:rsid w:val="00E36067"/>
    <w:rsid w:val="00E37206"/>
    <w:rsid w:val="00E37B5E"/>
    <w:rsid w:val="00E40B27"/>
    <w:rsid w:val="00E40EEE"/>
    <w:rsid w:val="00E41B1E"/>
    <w:rsid w:val="00E44C97"/>
    <w:rsid w:val="00E450D5"/>
    <w:rsid w:val="00E45E31"/>
    <w:rsid w:val="00E45FF2"/>
    <w:rsid w:val="00E500A6"/>
    <w:rsid w:val="00E50729"/>
    <w:rsid w:val="00E51967"/>
    <w:rsid w:val="00E537AA"/>
    <w:rsid w:val="00E56288"/>
    <w:rsid w:val="00E56738"/>
    <w:rsid w:val="00E56E3B"/>
    <w:rsid w:val="00E575BD"/>
    <w:rsid w:val="00E60858"/>
    <w:rsid w:val="00E610BD"/>
    <w:rsid w:val="00E62B29"/>
    <w:rsid w:val="00E63EDB"/>
    <w:rsid w:val="00E6446E"/>
    <w:rsid w:val="00E64706"/>
    <w:rsid w:val="00E64B6D"/>
    <w:rsid w:val="00E676CB"/>
    <w:rsid w:val="00E70877"/>
    <w:rsid w:val="00E75034"/>
    <w:rsid w:val="00E757E0"/>
    <w:rsid w:val="00E76DC8"/>
    <w:rsid w:val="00E80D67"/>
    <w:rsid w:val="00E84AD9"/>
    <w:rsid w:val="00E854F2"/>
    <w:rsid w:val="00E86A7B"/>
    <w:rsid w:val="00E86BD5"/>
    <w:rsid w:val="00E87BDA"/>
    <w:rsid w:val="00E9035A"/>
    <w:rsid w:val="00E906E6"/>
    <w:rsid w:val="00E90834"/>
    <w:rsid w:val="00E90BA1"/>
    <w:rsid w:val="00E93FC3"/>
    <w:rsid w:val="00E94394"/>
    <w:rsid w:val="00E9481E"/>
    <w:rsid w:val="00E95BDD"/>
    <w:rsid w:val="00E9658E"/>
    <w:rsid w:val="00E97785"/>
    <w:rsid w:val="00EA03C1"/>
    <w:rsid w:val="00EA0EBA"/>
    <w:rsid w:val="00EA14A3"/>
    <w:rsid w:val="00EA1F9A"/>
    <w:rsid w:val="00EA2778"/>
    <w:rsid w:val="00EA433B"/>
    <w:rsid w:val="00EA4356"/>
    <w:rsid w:val="00EA43AE"/>
    <w:rsid w:val="00EA62C8"/>
    <w:rsid w:val="00EA6F22"/>
    <w:rsid w:val="00EB12F4"/>
    <w:rsid w:val="00EB19AF"/>
    <w:rsid w:val="00EB1DC4"/>
    <w:rsid w:val="00EB2152"/>
    <w:rsid w:val="00EB2AF1"/>
    <w:rsid w:val="00EB2D1A"/>
    <w:rsid w:val="00EB61D7"/>
    <w:rsid w:val="00EB6312"/>
    <w:rsid w:val="00EB68BA"/>
    <w:rsid w:val="00EB6C4A"/>
    <w:rsid w:val="00EB7D69"/>
    <w:rsid w:val="00EB7FE8"/>
    <w:rsid w:val="00EC0422"/>
    <w:rsid w:val="00EC0ABE"/>
    <w:rsid w:val="00EC0B93"/>
    <w:rsid w:val="00EC2070"/>
    <w:rsid w:val="00EC26F7"/>
    <w:rsid w:val="00EC31AE"/>
    <w:rsid w:val="00EC33CD"/>
    <w:rsid w:val="00EC41DB"/>
    <w:rsid w:val="00EC4AF3"/>
    <w:rsid w:val="00EC4B23"/>
    <w:rsid w:val="00EC58FE"/>
    <w:rsid w:val="00EC59A1"/>
    <w:rsid w:val="00EC5B3F"/>
    <w:rsid w:val="00EC653F"/>
    <w:rsid w:val="00ED1494"/>
    <w:rsid w:val="00ED14B6"/>
    <w:rsid w:val="00ED220E"/>
    <w:rsid w:val="00ED2436"/>
    <w:rsid w:val="00ED2863"/>
    <w:rsid w:val="00ED301B"/>
    <w:rsid w:val="00ED3300"/>
    <w:rsid w:val="00ED431B"/>
    <w:rsid w:val="00ED5ACC"/>
    <w:rsid w:val="00ED61CD"/>
    <w:rsid w:val="00ED6AF8"/>
    <w:rsid w:val="00ED6C31"/>
    <w:rsid w:val="00ED710D"/>
    <w:rsid w:val="00ED7247"/>
    <w:rsid w:val="00ED7278"/>
    <w:rsid w:val="00EE0C93"/>
    <w:rsid w:val="00EE2A6E"/>
    <w:rsid w:val="00EE4252"/>
    <w:rsid w:val="00EE442C"/>
    <w:rsid w:val="00EE4502"/>
    <w:rsid w:val="00EE5CF8"/>
    <w:rsid w:val="00EE624A"/>
    <w:rsid w:val="00EE691D"/>
    <w:rsid w:val="00EE76A1"/>
    <w:rsid w:val="00EE7958"/>
    <w:rsid w:val="00EF002B"/>
    <w:rsid w:val="00EF0ED2"/>
    <w:rsid w:val="00EF1551"/>
    <w:rsid w:val="00EF1ACA"/>
    <w:rsid w:val="00EF2482"/>
    <w:rsid w:val="00EF2B1F"/>
    <w:rsid w:val="00EF3B6D"/>
    <w:rsid w:val="00EF3E24"/>
    <w:rsid w:val="00EF3FAE"/>
    <w:rsid w:val="00EF4041"/>
    <w:rsid w:val="00EF588A"/>
    <w:rsid w:val="00EF7368"/>
    <w:rsid w:val="00F023CF"/>
    <w:rsid w:val="00F066FE"/>
    <w:rsid w:val="00F06C32"/>
    <w:rsid w:val="00F06E27"/>
    <w:rsid w:val="00F10CDE"/>
    <w:rsid w:val="00F118B6"/>
    <w:rsid w:val="00F119FD"/>
    <w:rsid w:val="00F121E7"/>
    <w:rsid w:val="00F1227D"/>
    <w:rsid w:val="00F12322"/>
    <w:rsid w:val="00F1267C"/>
    <w:rsid w:val="00F12BB4"/>
    <w:rsid w:val="00F12E78"/>
    <w:rsid w:val="00F14CD9"/>
    <w:rsid w:val="00F14D40"/>
    <w:rsid w:val="00F169D7"/>
    <w:rsid w:val="00F17756"/>
    <w:rsid w:val="00F17BA4"/>
    <w:rsid w:val="00F225C3"/>
    <w:rsid w:val="00F23016"/>
    <w:rsid w:val="00F23A8C"/>
    <w:rsid w:val="00F24A9E"/>
    <w:rsid w:val="00F24FC4"/>
    <w:rsid w:val="00F254C2"/>
    <w:rsid w:val="00F2554A"/>
    <w:rsid w:val="00F25D97"/>
    <w:rsid w:val="00F2656E"/>
    <w:rsid w:val="00F26EF5"/>
    <w:rsid w:val="00F3021C"/>
    <w:rsid w:val="00F3063D"/>
    <w:rsid w:val="00F31942"/>
    <w:rsid w:val="00F31BA8"/>
    <w:rsid w:val="00F3397F"/>
    <w:rsid w:val="00F33FB7"/>
    <w:rsid w:val="00F355F3"/>
    <w:rsid w:val="00F361C4"/>
    <w:rsid w:val="00F37AB5"/>
    <w:rsid w:val="00F41A66"/>
    <w:rsid w:val="00F42526"/>
    <w:rsid w:val="00F42F14"/>
    <w:rsid w:val="00F44B08"/>
    <w:rsid w:val="00F44ED6"/>
    <w:rsid w:val="00F45FD9"/>
    <w:rsid w:val="00F46058"/>
    <w:rsid w:val="00F47088"/>
    <w:rsid w:val="00F4737F"/>
    <w:rsid w:val="00F50B54"/>
    <w:rsid w:val="00F50B86"/>
    <w:rsid w:val="00F521F9"/>
    <w:rsid w:val="00F53C2B"/>
    <w:rsid w:val="00F53CCD"/>
    <w:rsid w:val="00F55B7D"/>
    <w:rsid w:val="00F5635F"/>
    <w:rsid w:val="00F566EF"/>
    <w:rsid w:val="00F56F0D"/>
    <w:rsid w:val="00F57C6F"/>
    <w:rsid w:val="00F60D7F"/>
    <w:rsid w:val="00F61C9F"/>
    <w:rsid w:val="00F62FA8"/>
    <w:rsid w:val="00F6560A"/>
    <w:rsid w:val="00F661EE"/>
    <w:rsid w:val="00F6671C"/>
    <w:rsid w:val="00F67DAE"/>
    <w:rsid w:val="00F702E5"/>
    <w:rsid w:val="00F70CF7"/>
    <w:rsid w:val="00F70D49"/>
    <w:rsid w:val="00F74335"/>
    <w:rsid w:val="00F75851"/>
    <w:rsid w:val="00F80C6C"/>
    <w:rsid w:val="00F8103D"/>
    <w:rsid w:val="00F811AB"/>
    <w:rsid w:val="00F811FB"/>
    <w:rsid w:val="00F81372"/>
    <w:rsid w:val="00F827FA"/>
    <w:rsid w:val="00F85E4A"/>
    <w:rsid w:val="00F85F2A"/>
    <w:rsid w:val="00F86E5E"/>
    <w:rsid w:val="00F90D3C"/>
    <w:rsid w:val="00F9103A"/>
    <w:rsid w:val="00F912DC"/>
    <w:rsid w:val="00F92DAD"/>
    <w:rsid w:val="00F93AFD"/>
    <w:rsid w:val="00F94DB3"/>
    <w:rsid w:val="00F954FF"/>
    <w:rsid w:val="00F96334"/>
    <w:rsid w:val="00F97429"/>
    <w:rsid w:val="00F97DD8"/>
    <w:rsid w:val="00F97F5B"/>
    <w:rsid w:val="00FA0268"/>
    <w:rsid w:val="00FA11D3"/>
    <w:rsid w:val="00FA1A30"/>
    <w:rsid w:val="00FA2640"/>
    <w:rsid w:val="00FA2C85"/>
    <w:rsid w:val="00FA2CD2"/>
    <w:rsid w:val="00FA4999"/>
    <w:rsid w:val="00FA565E"/>
    <w:rsid w:val="00FA60DD"/>
    <w:rsid w:val="00FA6CA4"/>
    <w:rsid w:val="00FA6D24"/>
    <w:rsid w:val="00FA736F"/>
    <w:rsid w:val="00FA7AFD"/>
    <w:rsid w:val="00FB0546"/>
    <w:rsid w:val="00FB17B0"/>
    <w:rsid w:val="00FB1B00"/>
    <w:rsid w:val="00FB3081"/>
    <w:rsid w:val="00FB39B3"/>
    <w:rsid w:val="00FB4196"/>
    <w:rsid w:val="00FB444C"/>
    <w:rsid w:val="00FB4AC0"/>
    <w:rsid w:val="00FB4FF3"/>
    <w:rsid w:val="00FB5277"/>
    <w:rsid w:val="00FB5822"/>
    <w:rsid w:val="00FB5881"/>
    <w:rsid w:val="00FB63A4"/>
    <w:rsid w:val="00FC23CE"/>
    <w:rsid w:val="00FC2543"/>
    <w:rsid w:val="00FC32BF"/>
    <w:rsid w:val="00FC34D2"/>
    <w:rsid w:val="00FC3EA4"/>
    <w:rsid w:val="00FC3EEA"/>
    <w:rsid w:val="00FC4DDF"/>
    <w:rsid w:val="00FC6235"/>
    <w:rsid w:val="00FC6F8E"/>
    <w:rsid w:val="00FC7649"/>
    <w:rsid w:val="00FC7D24"/>
    <w:rsid w:val="00FD0ACD"/>
    <w:rsid w:val="00FD16D9"/>
    <w:rsid w:val="00FD4276"/>
    <w:rsid w:val="00FD4B97"/>
    <w:rsid w:val="00FD4C76"/>
    <w:rsid w:val="00FD5DCE"/>
    <w:rsid w:val="00FD7205"/>
    <w:rsid w:val="00FD7E3A"/>
    <w:rsid w:val="00FD7FDA"/>
    <w:rsid w:val="00FE0439"/>
    <w:rsid w:val="00FE05DA"/>
    <w:rsid w:val="00FE0D03"/>
    <w:rsid w:val="00FE0D26"/>
    <w:rsid w:val="00FE1904"/>
    <w:rsid w:val="00FE215F"/>
    <w:rsid w:val="00FE3245"/>
    <w:rsid w:val="00FE380A"/>
    <w:rsid w:val="00FE409C"/>
    <w:rsid w:val="00FE4171"/>
    <w:rsid w:val="00FE4AD6"/>
    <w:rsid w:val="00FE5090"/>
    <w:rsid w:val="00FE601C"/>
    <w:rsid w:val="00FF15F0"/>
    <w:rsid w:val="00FF1FD1"/>
    <w:rsid w:val="00FF40A3"/>
    <w:rsid w:val="00FF6AEF"/>
    <w:rsid w:val="00FF7D6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E9A2AC"/>
  <w15:docId w15:val="{BBD09D83-8E93-4113-8A5A-C3C69FBBEC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11B7"/>
    <w:rPr>
      <w:lang w:eastAsia="es-ES"/>
    </w:rPr>
  </w:style>
  <w:style w:type="paragraph" w:styleId="Ttulo1">
    <w:name w:val="heading 1"/>
    <w:aliases w:val="Título 1 Intro,título 1,Edgar 1"/>
    <w:basedOn w:val="Normal"/>
    <w:next w:val="Normal"/>
    <w:link w:val="Ttulo1Car"/>
    <w:qFormat/>
    <w:rsid w:val="008F3A12"/>
    <w:pPr>
      <w:keepNext/>
      <w:outlineLvl w:val="0"/>
    </w:pPr>
    <w:rPr>
      <w:rFonts w:ascii="Arial" w:hAnsi="Arial"/>
      <w:b/>
      <w:lang w:val="es-MX"/>
    </w:rPr>
  </w:style>
  <w:style w:type="paragraph" w:styleId="Ttulo2">
    <w:name w:val="heading 2"/>
    <w:basedOn w:val="Normal"/>
    <w:next w:val="Normal"/>
    <w:link w:val="Ttulo2Car"/>
    <w:qFormat/>
    <w:rsid w:val="00C60EDA"/>
    <w:pPr>
      <w:keepNext/>
      <w:spacing w:before="240" w:after="60"/>
      <w:outlineLvl w:val="1"/>
    </w:pPr>
    <w:rPr>
      <w:rFonts w:ascii="Arial" w:hAnsi="Arial" w:cs="Arial"/>
      <w:b/>
      <w:bCs/>
      <w:i/>
      <w:iCs/>
      <w:sz w:val="28"/>
      <w:szCs w:val="28"/>
    </w:rPr>
  </w:style>
  <w:style w:type="paragraph" w:styleId="Ttulo3">
    <w:name w:val="heading 3"/>
    <w:basedOn w:val="Normal"/>
    <w:next w:val="Normal"/>
    <w:link w:val="Ttulo3Car"/>
    <w:qFormat/>
    <w:rsid w:val="00FA2C85"/>
    <w:pPr>
      <w:keepNext/>
      <w:spacing w:before="240" w:after="60"/>
      <w:outlineLvl w:val="2"/>
    </w:pPr>
    <w:rPr>
      <w:rFonts w:ascii="Arial" w:hAnsi="Arial" w:cs="Arial"/>
      <w:b/>
      <w:bCs/>
      <w:sz w:val="26"/>
      <w:szCs w:val="26"/>
      <w:lang w:val="es-ES"/>
    </w:rPr>
  </w:style>
  <w:style w:type="paragraph" w:styleId="Ttulo4">
    <w:name w:val="heading 4"/>
    <w:basedOn w:val="Normal"/>
    <w:next w:val="Normal"/>
    <w:link w:val="Ttulo4Car"/>
    <w:qFormat/>
    <w:rsid w:val="0049186E"/>
    <w:pPr>
      <w:keepNext/>
      <w:spacing w:before="240" w:after="60"/>
      <w:outlineLvl w:val="3"/>
    </w:pPr>
    <w:rPr>
      <w:b/>
      <w:bCs/>
      <w:sz w:val="28"/>
      <w:szCs w:val="28"/>
    </w:rPr>
  </w:style>
  <w:style w:type="paragraph" w:styleId="Ttulo5">
    <w:name w:val="heading 5"/>
    <w:basedOn w:val="Normal"/>
    <w:next w:val="Normal"/>
    <w:link w:val="Ttulo5Car"/>
    <w:qFormat/>
    <w:rsid w:val="00437C97"/>
    <w:pPr>
      <w:spacing w:before="240" w:after="60"/>
      <w:outlineLvl w:val="4"/>
    </w:pPr>
    <w:rPr>
      <w:b/>
      <w:bCs/>
      <w:i/>
      <w:iCs/>
      <w:sz w:val="26"/>
      <w:szCs w:val="26"/>
    </w:rPr>
  </w:style>
  <w:style w:type="paragraph" w:styleId="Ttulo6">
    <w:name w:val="heading 6"/>
    <w:basedOn w:val="Normal"/>
    <w:next w:val="Normal"/>
    <w:link w:val="Ttulo6Car"/>
    <w:qFormat/>
    <w:rsid w:val="008F3A12"/>
    <w:pPr>
      <w:keepNext/>
      <w:jc w:val="center"/>
      <w:outlineLvl w:val="5"/>
    </w:pPr>
    <w:rPr>
      <w:rFonts w:ascii="Arial" w:hAnsi="Arial"/>
      <w:b/>
    </w:rPr>
  </w:style>
  <w:style w:type="paragraph" w:styleId="Ttulo7">
    <w:name w:val="heading 7"/>
    <w:basedOn w:val="Normal"/>
    <w:next w:val="Normal"/>
    <w:link w:val="Ttulo7Car"/>
    <w:qFormat/>
    <w:rsid w:val="00437C97"/>
    <w:pPr>
      <w:spacing w:before="240" w:after="60"/>
      <w:outlineLvl w:val="6"/>
    </w:pPr>
    <w:rPr>
      <w:sz w:val="24"/>
      <w:szCs w:val="24"/>
    </w:rPr>
  </w:style>
  <w:style w:type="paragraph" w:styleId="Ttulo8">
    <w:name w:val="heading 8"/>
    <w:basedOn w:val="Normal"/>
    <w:next w:val="Normal"/>
    <w:link w:val="Ttulo8Car"/>
    <w:qFormat/>
    <w:rsid w:val="0049186E"/>
    <w:pPr>
      <w:spacing w:before="240" w:after="60"/>
      <w:outlineLvl w:val="7"/>
    </w:pPr>
    <w:rPr>
      <w:i/>
      <w:i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
    <w:basedOn w:val="Normal"/>
    <w:link w:val="EncabezadoCar"/>
    <w:uiPriority w:val="99"/>
    <w:rsid w:val="008F3A12"/>
    <w:pPr>
      <w:tabs>
        <w:tab w:val="center" w:pos="4252"/>
        <w:tab w:val="right" w:pos="8504"/>
      </w:tabs>
    </w:pPr>
  </w:style>
  <w:style w:type="paragraph" w:styleId="Piedepgina">
    <w:name w:val="footer"/>
    <w:aliases w:val="pie de página,Car"/>
    <w:basedOn w:val="Normal"/>
    <w:link w:val="PiedepginaCar"/>
    <w:uiPriority w:val="99"/>
    <w:rsid w:val="008F3A12"/>
    <w:pPr>
      <w:tabs>
        <w:tab w:val="center" w:pos="4252"/>
        <w:tab w:val="right" w:pos="8504"/>
      </w:tabs>
    </w:pPr>
  </w:style>
  <w:style w:type="table" w:styleId="Tablaconcuadrcula">
    <w:name w:val="Table Grid"/>
    <w:basedOn w:val="Tablanormal"/>
    <w:uiPriority w:val="39"/>
    <w:rsid w:val="00C60E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C60EDA"/>
    <w:pPr>
      <w:spacing w:before="100" w:beforeAutospacing="1" w:after="100" w:afterAutospacing="1"/>
    </w:pPr>
    <w:rPr>
      <w:sz w:val="24"/>
      <w:szCs w:val="24"/>
      <w:lang w:val="es-ES"/>
    </w:rPr>
  </w:style>
  <w:style w:type="paragraph" w:styleId="Textoindependiente2">
    <w:name w:val="Body Text 2"/>
    <w:basedOn w:val="Normal"/>
    <w:link w:val="Textoindependiente2Car"/>
    <w:rsid w:val="00437C97"/>
    <w:pPr>
      <w:jc w:val="both"/>
    </w:pPr>
    <w:rPr>
      <w:sz w:val="28"/>
      <w:lang w:val="es-ES"/>
    </w:rPr>
  </w:style>
  <w:style w:type="paragraph" w:styleId="Sangradetextonormal">
    <w:name w:val="Body Text Indent"/>
    <w:basedOn w:val="Normal"/>
    <w:link w:val="SangradetextonormalCar"/>
    <w:rsid w:val="008D66FD"/>
    <w:pPr>
      <w:spacing w:after="120"/>
      <w:ind w:left="283"/>
    </w:pPr>
  </w:style>
  <w:style w:type="character" w:customStyle="1" w:styleId="SangradetextonormalCar">
    <w:name w:val="Sangría de texto normal Car"/>
    <w:link w:val="Sangradetextonormal"/>
    <w:rsid w:val="008D66FD"/>
    <w:rPr>
      <w:lang w:val="es-CO"/>
    </w:rPr>
  </w:style>
  <w:style w:type="paragraph" w:styleId="Textoindependiente">
    <w:name w:val="Body Text"/>
    <w:basedOn w:val="Normal"/>
    <w:link w:val="TextoindependienteCar"/>
    <w:uiPriority w:val="1"/>
    <w:qFormat/>
    <w:rsid w:val="0015325D"/>
    <w:pPr>
      <w:spacing w:after="120"/>
    </w:pPr>
  </w:style>
  <w:style w:type="character" w:customStyle="1" w:styleId="TextoindependienteCar">
    <w:name w:val="Texto independiente Car"/>
    <w:link w:val="Textoindependiente"/>
    <w:uiPriority w:val="1"/>
    <w:rsid w:val="0015325D"/>
    <w:rPr>
      <w:lang w:val="es-CO"/>
    </w:rPr>
  </w:style>
  <w:style w:type="character" w:customStyle="1" w:styleId="EncabezadoCar">
    <w:name w:val="Encabezado Car"/>
    <w:aliases w:val="h Car,h8 Car,h9 Car,h10 Car,h18 Car"/>
    <w:link w:val="Encabezado"/>
    <w:uiPriority w:val="99"/>
    <w:rsid w:val="0021603F"/>
    <w:rPr>
      <w:lang w:val="es-CO"/>
    </w:rPr>
  </w:style>
  <w:style w:type="character" w:styleId="Hipervnculo">
    <w:name w:val="Hyperlink"/>
    <w:uiPriority w:val="99"/>
    <w:qFormat/>
    <w:rsid w:val="009F59F0"/>
    <w:rPr>
      <w:color w:val="0000FF"/>
      <w:u w:val="single"/>
    </w:rPr>
  </w:style>
  <w:style w:type="character" w:customStyle="1" w:styleId="PiedepginaCar">
    <w:name w:val="Pie de página Car"/>
    <w:aliases w:val="pie de página Car,Car Car"/>
    <w:link w:val="Piedepgina"/>
    <w:uiPriority w:val="99"/>
    <w:locked/>
    <w:rsid w:val="00A03E1D"/>
    <w:rPr>
      <w:lang w:eastAsia="es-ES"/>
    </w:rPr>
  </w:style>
  <w:style w:type="character" w:styleId="Nmerodepgina">
    <w:name w:val="page number"/>
    <w:rsid w:val="00A03E1D"/>
    <w:rPr>
      <w:rFonts w:cs="Times New Roman"/>
    </w:rPr>
  </w:style>
  <w:style w:type="paragraph" w:customStyle="1" w:styleId="Default">
    <w:name w:val="Default"/>
    <w:link w:val="DefaultCar"/>
    <w:qFormat/>
    <w:rsid w:val="00546B93"/>
    <w:pPr>
      <w:autoSpaceDE w:val="0"/>
      <w:autoSpaceDN w:val="0"/>
      <w:adjustRightInd w:val="0"/>
    </w:pPr>
    <w:rPr>
      <w:rFonts w:ascii="Arial" w:hAnsi="Arial" w:cs="Arial"/>
      <w:color w:val="000000"/>
      <w:sz w:val="24"/>
      <w:szCs w:val="24"/>
      <w:lang w:val="es-ES" w:eastAsia="es-ES"/>
    </w:rPr>
  </w:style>
  <w:style w:type="character" w:styleId="Refdecomentario">
    <w:name w:val="annotation reference"/>
    <w:uiPriority w:val="99"/>
    <w:rsid w:val="00C91291"/>
    <w:rPr>
      <w:sz w:val="16"/>
      <w:szCs w:val="16"/>
    </w:rPr>
  </w:style>
  <w:style w:type="paragraph" w:styleId="Textocomentario">
    <w:name w:val="annotation text"/>
    <w:basedOn w:val="Normal"/>
    <w:link w:val="TextocomentarioCar"/>
    <w:uiPriority w:val="99"/>
    <w:rsid w:val="00C91291"/>
  </w:style>
  <w:style w:type="character" w:customStyle="1" w:styleId="TextocomentarioCar">
    <w:name w:val="Texto comentario Car"/>
    <w:link w:val="Textocomentario"/>
    <w:rsid w:val="00C91291"/>
    <w:rPr>
      <w:lang w:eastAsia="es-ES"/>
    </w:rPr>
  </w:style>
  <w:style w:type="paragraph" w:styleId="Asuntodelcomentario">
    <w:name w:val="annotation subject"/>
    <w:basedOn w:val="Textocomentario"/>
    <w:next w:val="Textocomentario"/>
    <w:link w:val="AsuntodelcomentarioCar"/>
    <w:rsid w:val="00C91291"/>
    <w:rPr>
      <w:b/>
      <w:bCs/>
    </w:rPr>
  </w:style>
  <w:style w:type="character" w:customStyle="1" w:styleId="AsuntodelcomentarioCar">
    <w:name w:val="Asunto del comentario Car"/>
    <w:link w:val="Asuntodelcomentario"/>
    <w:rsid w:val="00C91291"/>
    <w:rPr>
      <w:b/>
      <w:bCs/>
      <w:lang w:eastAsia="es-ES"/>
    </w:rPr>
  </w:style>
  <w:style w:type="paragraph" w:styleId="Textodeglobo">
    <w:name w:val="Balloon Text"/>
    <w:basedOn w:val="Normal"/>
    <w:link w:val="TextodegloboCar"/>
    <w:rsid w:val="00C91291"/>
    <w:rPr>
      <w:rFonts w:ascii="Tahoma" w:hAnsi="Tahoma" w:cs="Tahoma"/>
      <w:sz w:val="16"/>
      <w:szCs w:val="16"/>
    </w:rPr>
  </w:style>
  <w:style w:type="character" w:customStyle="1" w:styleId="TextodegloboCar">
    <w:name w:val="Texto de globo Car"/>
    <w:link w:val="Textodeglobo"/>
    <w:rsid w:val="00C91291"/>
    <w:rPr>
      <w:rFonts w:ascii="Tahoma" w:hAnsi="Tahoma" w:cs="Tahoma"/>
      <w:sz w:val="16"/>
      <w:szCs w:val="16"/>
      <w:lang w:eastAsia="es-ES"/>
    </w:rPr>
  </w:style>
  <w:style w:type="paragraph" w:styleId="Revisin">
    <w:name w:val="Revision"/>
    <w:hidden/>
    <w:uiPriority w:val="99"/>
    <w:semiHidden/>
    <w:rsid w:val="00B916B8"/>
    <w:rPr>
      <w:lang w:eastAsia="es-ES"/>
    </w:rPr>
  </w:style>
  <w:style w:type="paragraph" w:styleId="Prrafodelista">
    <w:name w:val="List Paragraph"/>
    <w:aliases w:val="HOJA,Bolita,Párrafo de lista4,BOLADEF,Párrafo de lista3,Párrafo de lista21,BOLA,Nivel 1 OS,Colorful List Accent 1,Colorful List - Accent 11,TITULO 2_CR,Viñeta 6,Párrafo de lista1,Tercera viñeta,Tercer nivel de viñeta,Ha,l,Fotografía,lp1"/>
    <w:basedOn w:val="Normal"/>
    <w:link w:val="PrrafodelistaCar"/>
    <w:uiPriority w:val="1"/>
    <w:qFormat/>
    <w:rsid w:val="00586AD4"/>
    <w:pPr>
      <w:spacing w:after="160" w:line="259" w:lineRule="auto"/>
      <w:ind w:left="720"/>
      <w:contextualSpacing/>
    </w:pPr>
    <w:rPr>
      <w:rFonts w:ascii="Calibri" w:eastAsia="Calibri" w:hAnsi="Calibri"/>
      <w:sz w:val="22"/>
      <w:szCs w:val="22"/>
      <w:lang w:eastAsia="en-US"/>
    </w:rPr>
  </w:style>
  <w:style w:type="paragraph" w:customStyle="1" w:styleId="Estilopredeterminado">
    <w:name w:val="Estilo predeterminado"/>
    <w:rsid w:val="00586AD4"/>
    <w:pPr>
      <w:suppressAutoHyphens/>
      <w:spacing w:line="100" w:lineRule="atLeast"/>
    </w:pPr>
    <w:rPr>
      <w:rFonts w:ascii="Tahoma" w:hAnsi="Tahoma" w:cs="Tahoma"/>
      <w:color w:val="000000"/>
      <w:sz w:val="24"/>
      <w:szCs w:val="24"/>
      <w:lang w:val="es-ES" w:eastAsia="zh-CN"/>
    </w:rPr>
  </w:style>
  <w:style w:type="character" w:customStyle="1" w:styleId="normaltextrun">
    <w:name w:val="normaltextrun"/>
    <w:rsid w:val="00586AD4"/>
  </w:style>
  <w:style w:type="paragraph" w:customStyle="1" w:styleId="paragraph">
    <w:name w:val="paragraph"/>
    <w:basedOn w:val="Normal"/>
    <w:rsid w:val="003D154D"/>
    <w:pPr>
      <w:spacing w:before="100" w:beforeAutospacing="1" w:after="100" w:afterAutospacing="1"/>
    </w:pPr>
    <w:rPr>
      <w:sz w:val="24"/>
      <w:szCs w:val="24"/>
      <w:lang w:eastAsia="es-CO"/>
    </w:rPr>
  </w:style>
  <w:style w:type="character" w:customStyle="1" w:styleId="eop">
    <w:name w:val="eop"/>
    <w:rsid w:val="003D154D"/>
  </w:style>
  <w:style w:type="character" w:styleId="Textoennegrita">
    <w:name w:val="Strong"/>
    <w:uiPriority w:val="22"/>
    <w:qFormat/>
    <w:rsid w:val="007C1193"/>
    <w:rPr>
      <w:b/>
      <w:bCs/>
    </w:rPr>
  </w:style>
  <w:style w:type="paragraph" w:styleId="Textonotapie">
    <w:name w:val="footnote text"/>
    <w:aliases w:val="ft,Texto nota pie Car Car Car,FA Fu,Car3 Car,Car3 Car Car Car Car,Car3,Car31,Car Car Car Car Car Car Car1,texto de nota al pie,Footnote Text Char Char,Footnote Text1 Char,Footnote Text Char Char Char Ch,Nota a pie/Bibliog,Car1 Car Car"/>
    <w:basedOn w:val="Normal"/>
    <w:link w:val="TextonotapieCar"/>
    <w:uiPriority w:val="99"/>
    <w:unhideWhenUsed/>
    <w:qFormat/>
    <w:rsid w:val="00367368"/>
    <w:pPr>
      <w:suppressAutoHyphens/>
    </w:pPr>
    <w:rPr>
      <w:rFonts w:eastAsia="Calibri"/>
      <w:lang w:eastAsia="zh-CN"/>
    </w:rPr>
  </w:style>
  <w:style w:type="character" w:customStyle="1" w:styleId="TextonotapieCar">
    <w:name w:val="Texto nota pie Car"/>
    <w:aliases w:val="ft Car,Texto nota pie Car Car Car Car,FA Fu Car,Car3 Car Car,Car3 Car Car Car Car Car,Car3 Car1,Car31 Car,Car Car Car Car Car Car Car1 Car,texto de nota al pie Car,Footnote Text Char Char Car,Footnote Text1 Char Car,Car1 Car Car Car"/>
    <w:basedOn w:val="Fuentedeprrafopredeter"/>
    <w:link w:val="Textonotapie"/>
    <w:uiPriority w:val="99"/>
    <w:qFormat/>
    <w:rsid w:val="00367368"/>
    <w:rPr>
      <w:rFonts w:eastAsia="Calibri"/>
      <w:lang w:eastAsia="zh-CN"/>
    </w:rPr>
  </w:style>
  <w:style w:type="character" w:styleId="Refdenotaalpie">
    <w:name w:val="footnote reference"/>
    <w:aliases w:val="Ref,de nota al pie,Nota de pie,Ref. de nota al pie2,Massilia Footnote Reference,normal,referencia nota al pie,Texto de nota al pie,Referencia nota al pie,BVI fnr,BVI fnr Car Car,BVI fnr Car,BVI fnr Car Car Car Car,Pie de pagina,fr"/>
    <w:unhideWhenUsed/>
    <w:qFormat/>
    <w:rsid w:val="00367368"/>
    <w:rPr>
      <w:vertAlign w:val="superscript"/>
    </w:rPr>
  </w:style>
  <w:style w:type="paragraph" w:customStyle="1" w:styleId="Standard">
    <w:name w:val="Standard"/>
    <w:link w:val="StandardCar"/>
    <w:qFormat/>
    <w:rsid w:val="00367368"/>
    <w:pPr>
      <w:suppressAutoHyphens/>
      <w:autoSpaceDN w:val="0"/>
      <w:textAlignment w:val="baseline"/>
    </w:pPr>
    <w:rPr>
      <w:kern w:val="3"/>
      <w:lang w:eastAsia="zh-CN"/>
    </w:rPr>
  </w:style>
  <w:style w:type="paragraph" w:styleId="Sinespaciado">
    <w:name w:val="No Spacing"/>
    <w:aliases w:val="Aries,k"/>
    <w:link w:val="SinespaciadoCar"/>
    <w:uiPriority w:val="1"/>
    <w:qFormat/>
    <w:rsid w:val="00E22C60"/>
    <w:pPr>
      <w:suppressAutoHyphens/>
    </w:pPr>
    <w:rPr>
      <w:rFonts w:ascii="Calibri" w:eastAsia="Calibri" w:hAnsi="Calibri"/>
      <w:sz w:val="22"/>
      <w:szCs w:val="22"/>
      <w:lang w:val="es-ES" w:eastAsia="ar-SA"/>
    </w:rPr>
  </w:style>
  <w:style w:type="character" w:customStyle="1" w:styleId="SinespaciadoCar">
    <w:name w:val="Sin espaciado Car"/>
    <w:aliases w:val="Aries Car,k Car"/>
    <w:link w:val="Sinespaciado"/>
    <w:uiPriority w:val="1"/>
    <w:qFormat/>
    <w:rsid w:val="00E22C60"/>
    <w:rPr>
      <w:rFonts w:ascii="Calibri" w:eastAsia="Calibri" w:hAnsi="Calibri"/>
      <w:sz w:val="22"/>
      <w:szCs w:val="22"/>
      <w:lang w:val="es-ES" w:eastAsia="ar-SA"/>
    </w:rPr>
  </w:style>
  <w:style w:type="character" w:customStyle="1" w:styleId="Ttulo1Car">
    <w:name w:val="Título 1 Car"/>
    <w:aliases w:val="Título 1 Intro Car,título 1 Car,Edgar 1 Car"/>
    <w:basedOn w:val="Fuentedeprrafopredeter"/>
    <w:link w:val="Ttulo1"/>
    <w:rsid w:val="0017159D"/>
    <w:rPr>
      <w:rFonts w:ascii="Arial" w:hAnsi="Arial"/>
      <w:b/>
      <w:lang w:val="es-MX" w:eastAsia="es-ES"/>
    </w:rPr>
  </w:style>
  <w:style w:type="character" w:customStyle="1" w:styleId="Ttulo2Car">
    <w:name w:val="Título 2 Car"/>
    <w:basedOn w:val="Fuentedeprrafopredeter"/>
    <w:link w:val="Ttulo2"/>
    <w:rsid w:val="0017159D"/>
    <w:rPr>
      <w:rFonts w:ascii="Arial" w:hAnsi="Arial" w:cs="Arial"/>
      <w:b/>
      <w:bCs/>
      <w:i/>
      <w:iCs/>
      <w:sz w:val="28"/>
      <w:szCs w:val="28"/>
      <w:lang w:eastAsia="es-ES"/>
    </w:rPr>
  </w:style>
  <w:style w:type="character" w:customStyle="1" w:styleId="Ttulo3Car">
    <w:name w:val="Título 3 Car"/>
    <w:basedOn w:val="Fuentedeprrafopredeter"/>
    <w:link w:val="Ttulo3"/>
    <w:rsid w:val="0017159D"/>
    <w:rPr>
      <w:rFonts w:ascii="Arial" w:hAnsi="Arial" w:cs="Arial"/>
      <w:b/>
      <w:bCs/>
      <w:sz w:val="26"/>
      <w:szCs w:val="26"/>
      <w:lang w:val="es-ES" w:eastAsia="es-ES"/>
    </w:rPr>
  </w:style>
  <w:style w:type="character" w:customStyle="1" w:styleId="Ttulo4Car">
    <w:name w:val="Título 4 Car"/>
    <w:basedOn w:val="Fuentedeprrafopredeter"/>
    <w:link w:val="Ttulo4"/>
    <w:rsid w:val="0017159D"/>
    <w:rPr>
      <w:b/>
      <w:bCs/>
      <w:sz w:val="28"/>
      <w:szCs w:val="28"/>
      <w:lang w:eastAsia="es-ES"/>
    </w:rPr>
  </w:style>
  <w:style w:type="character" w:customStyle="1" w:styleId="Ttulo5Car">
    <w:name w:val="Título 5 Car"/>
    <w:basedOn w:val="Fuentedeprrafopredeter"/>
    <w:link w:val="Ttulo5"/>
    <w:rsid w:val="0017159D"/>
    <w:rPr>
      <w:b/>
      <w:bCs/>
      <w:i/>
      <w:iCs/>
      <w:sz w:val="26"/>
      <w:szCs w:val="26"/>
      <w:lang w:eastAsia="es-ES"/>
    </w:rPr>
  </w:style>
  <w:style w:type="character" w:customStyle="1" w:styleId="Ttulo6Car">
    <w:name w:val="Título 6 Car"/>
    <w:basedOn w:val="Fuentedeprrafopredeter"/>
    <w:link w:val="Ttulo6"/>
    <w:rsid w:val="0017159D"/>
    <w:rPr>
      <w:rFonts w:ascii="Arial" w:hAnsi="Arial"/>
      <w:b/>
      <w:lang w:eastAsia="es-ES"/>
    </w:rPr>
  </w:style>
  <w:style w:type="character" w:customStyle="1" w:styleId="Ttulo7Car">
    <w:name w:val="Título 7 Car"/>
    <w:basedOn w:val="Fuentedeprrafopredeter"/>
    <w:link w:val="Ttulo7"/>
    <w:rsid w:val="0017159D"/>
    <w:rPr>
      <w:sz w:val="24"/>
      <w:szCs w:val="24"/>
      <w:lang w:eastAsia="es-ES"/>
    </w:rPr>
  </w:style>
  <w:style w:type="character" w:customStyle="1" w:styleId="Ttulo8Car">
    <w:name w:val="Título 8 Car"/>
    <w:basedOn w:val="Fuentedeprrafopredeter"/>
    <w:link w:val="Ttulo8"/>
    <w:rsid w:val="0017159D"/>
    <w:rPr>
      <w:i/>
      <w:iCs/>
      <w:sz w:val="24"/>
      <w:szCs w:val="24"/>
      <w:lang w:eastAsia="es-ES"/>
    </w:rPr>
  </w:style>
  <w:style w:type="character" w:customStyle="1" w:styleId="Textoindependiente2Car">
    <w:name w:val="Texto independiente 2 Car"/>
    <w:basedOn w:val="Fuentedeprrafopredeter"/>
    <w:link w:val="Textoindependiente2"/>
    <w:rsid w:val="0017159D"/>
    <w:rPr>
      <w:sz w:val="28"/>
      <w:lang w:val="es-ES" w:eastAsia="es-ES"/>
    </w:rPr>
  </w:style>
  <w:style w:type="character" w:customStyle="1" w:styleId="contentauthor--name">
    <w:name w:val="content__author--name"/>
    <w:basedOn w:val="Fuentedeprrafopredeter"/>
    <w:rsid w:val="0017159D"/>
  </w:style>
  <w:style w:type="character" w:customStyle="1" w:styleId="contentauthor--date">
    <w:name w:val="content__author--date"/>
    <w:basedOn w:val="Fuentedeprrafopredeter"/>
    <w:rsid w:val="0017159D"/>
  </w:style>
  <w:style w:type="table" w:customStyle="1" w:styleId="TableNormal">
    <w:name w:val="Table Normal"/>
    <w:uiPriority w:val="2"/>
    <w:semiHidden/>
    <w:unhideWhenUsed/>
    <w:qFormat/>
    <w:rsid w:val="0017159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7159D"/>
    <w:pPr>
      <w:widowControl w:val="0"/>
      <w:autoSpaceDE w:val="0"/>
      <w:autoSpaceDN w:val="0"/>
    </w:pPr>
    <w:rPr>
      <w:rFonts w:ascii="Arial MT" w:eastAsia="Arial MT" w:hAnsi="Arial MT" w:cs="Arial MT"/>
      <w:sz w:val="22"/>
      <w:szCs w:val="22"/>
      <w:lang w:val="es-ES" w:eastAsia="en-US"/>
    </w:rPr>
  </w:style>
  <w:style w:type="character" w:customStyle="1" w:styleId="Mencinsinresolver1">
    <w:name w:val="Mención sin resolver1"/>
    <w:basedOn w:val="Fuentedeprrafopredeter"/>
    <w:uiPriority w:val="99"/>
    <w:semiHidden/>
    <w:unhideWhenUsed/>
    <w:rsid w:val="0011283B"/>
    <w:rPr>
      <w:color w:val="605E5C"/>
      <w:shd w:val="clear" w:color="auto" w:fill="E1DFDD"/>
    </w:rPr>
  </w:style>
  <w:style w:type="paragraph" w:styleId="Textonotaalfinal">
    <w:name w:val="endnote text"/>
    <w:basedOn w:val="Normal"/>
    <w:link w:val="TextonotaalfinalCar"/>
    <w:uiPriority w:val="99"/>
    <w:semiHidden/>
    <w:unhideWhenUsed/>
    <w:rsid w:val="00EC0B93"/>
  </w:style>
  <w:style w:type="character" w:customStyle="1" w:styleId="TextonotaalfinalCar">
    <w:name w:val="Texto nota al final Car"/>
    <w:basedOn w:val="Fuentedeprrafopredeter"/>
    <w:link w:val="Textonotaalfinal"/>
    <w:uiPriority w:val="99"/>
    <w:semiHidden/>
    <w:rsid w:val="00EC0B93"/>
    <w:rPr>
      <w:lang w:eastAsia="es-ES"/>
    </w:rPr>
  </w:style>
  <w:style w:type="character" w:styleId="Refdenotaalfinal">
    <w:name w:val="endnote reference"/>
    <w:basedOn w:val="Fuentedeprrafopredeter"/>
    <w:semiHidden/>
    <w:unhideWhenUsed/>
    <w:rsid w:val="00EC0B93"/>
    <w:rPr>
      <w:vertAlign w:val="superscript"/>
    </w:rPr>
  </w:style>
  <w:style w:type="table" w:styleId="Cuadrculaclara-nfasis1">
    <w:name w:val="Light Grid Accent 1"/>
    <w:basedOn w:val="Tablanormal"/>
    <w:uiPriority w:val="62"/>
    <w:rsid w:val="00CC3CA2"/>
    <w:rPr>
      <w:lang w:val="es-US" w:eastAsia="es-MX"/>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customStyle="1" w:styleId="Tabladelista1clara-nfasis51">
    <w:name w:val="Tabla de lista 1 clara - Énfasis 51"/>
    <w:basedOn w:val="Tablanormal"/>
    <w:uiPriority w:val="46"/>
    <w:rsid w:val="00CC3CA2"/>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adecuadrcula41">
    <w:name w:val="Tabla de cuadrícula 41"/>
    <w:basedOn w:val="Tablanormal"/>
    <w:uiPriority w:val="49"/>
    <w:rsid w:val="00CC3CA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StandardCar">
    <w:name w:val="Standard Car"/>
    <w:link w:val="Standard"/>
    <w:qFormat/>
    <w:locked/>
    <w:rsid w:val="00773214"/>
    <w:rPr>
      <w:kern w:val="3"/>
      <w:lang w:eastAsia="zh-CN"/>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TITULO 2_CR Car,Viñeta 6 Car,Párrafo de lista1 Car"/>
    <w:link w:val="Prrafodelista"/>
    <w:uiPriority w:val="1"/>
    <w:qFormat/>
    <w:locked/>
    <w:rsid w:val="00773214"/>
    <w:rPr>
      <w:rFonts w:ascii="Calibri" w:eastAsia="Calibri" w:hAnsi="Calibri"/>
      <w:sz w:val="22"/>
      <w:szCs w:val="22"/>
      <w:lang w:eastAsia="en-US"/>
    </w:rPr>
  </w:style>
  <w:style w:type="character" w:styleId="nfasis">
    <w:name w:val="Emphasis"/>
    <w:basedOn w:val="Fuentedeprrafopredeter"/>
    <w:uiPriority w:val="20"/>
    <w:qFormat/>
    <w:rsid w:val="007A014F"/>
    <w:rPr>
      <w:i/>
      <w:iCs/>
    </w:rPr>
  </w:style>
  <w:style w:type="character" w:styleId="Hipervnculovisitado">
    <w:name w:val="FollowedHyperlink"/>
    <w:basedOn w:val="Fuentedeprrafopredeter"/>
    <w:uiPriority w:val="99"/>
    <w:semiHidden/>
    <w:unhideWhenUsed/>
    <w:rsid w:val="00F42F14"/>
    <w:rPr>
      <w:color w:val="954F72" w:themeColor="followedHyperlink"/>
      <w:u w:val="single"/>
    </w:rPr>
  </w:style>
  <w:style w:type="paragraph" w:customStyle="1" w:styleId="has-text-align-right">
    <w:name w:val="has-text-align-right"/>
    <w:basedOn w:val="Normal"/>
    <w:rsid w:val="004B1F05"/>
    <w:pPr>
      <w:spacing w:before="100" w:beforeAutospacing="1" w:after="100" w:afterAutospacing="1"/>
    </w:pPr>
    <w:rPr>
      <w:sz w:val="24"/>
      <w:szCs w:val="24"/>
      <w:lang w:eastAsia="es-CO"/>
    </w:rPr>
  </w:style>
  <w:style w:type="character" w:customStyle="1" w:styleId="DefaultCar">
    <w:name w:val="Default Car"/>
    <w:link w:val="Default"/>
    <w:locked/>
    <w:rsid w:val="000A7C95"/>
    <w:rPr>
      <w:rFonts w:ascii="Arial" w:hAnsi="Arial" w:cs="Arial"/>
      <w:color w:val="000000"/>
      <w:sz w:val="24"/>
      <w:szCs w:val="24"/>
      <w:lang w:val="es-ES" w:eastAsia="es-ES"/>
    </w:rPr>
  </w:style>
  <w:style w:type="character" w:customStyle="1" w:styleId="fl-spanner">
    <w:name w:val="fl-spanner"/>
    <w:basedOn w:val="Fuentedeprrafopredeter"/>
    <w:rsid w:val="006A636B"/>
  </w:style>
  <w:style w:type="character" w:customStyle="1" w:styleId="Mencinsinresolver2">
    <w:name w:val="Mención sin resolver2"/>
    <w:basedOn w:val="Fuentedeprrafopredeter"/>
    <w:uiPriority w:val="99"/>
    <w:semiHidden/>
    <w:unhideWhenUsed/>
    <w:rsid w:val="008D0907"/>
    <w:rPr>
      <w:color w:val="605E5C"/>
      <w:shd w:val="clear" w:color="auto" w:fill="E1DFDD"/>
    </w:rPr>
  </w:style>
  <w:style w:type="character" w:customStyle="1" w:styleId="Mencinsinresolver3">
    <w:name w:val="Mención sin resolver3"/>
    <w:basedOn w:val="Fuentedeprrafopredeter"/>
    <w:uiPriority w:val="99"/>
    <w:semiHidden/>
    <w:unhideWhenUsed/>
    <w:rsid w:val="00903EF9"/>
    <w:rPr>
      <w:color w:val="605E5C"/>
      <w:shd w:val="clear" w:color="auto" w:fill="E1DFDD"/>
    </w:rPr>
  </w:style>
  <w:style w:type="paragraph" w:styleId="Descripcin">
    <w:name w:val="caption"/>
    <w:basedOn w:val="Normal"/>
    <w:next w:val="Normal"/>
    <w:unhideWhenUsed/>
    <w:qFormat/>
    <w:rsid w:val="00397461"/>
    <w:pPr>
      <w:spacing w:after="200"/>
    </w:pPr>
    <w:rPr>
      <w:i/>
      <w:iCs/>
      <w:color w:val="44546A" w:themeColor="text2"/>
      <w:sz w:val="18"/>
      <w:szCs w:val="18"/>
    </w:rPr>
  </w:style>
  <w:style w:type="character" w:customStyle="1" w:styleId="Estilo1TituloEstudiodelsectorCar">
    <w:name w:val="Estilo1 Titulo Estudio del sector Car"/>
    <w:basedOn w:val="Fuentedeprrafopredeter"/>
    <w:link w:val="Estilo1TituloEstudiodelsector"/>
    <w:locked/>
    <w:rsid w:val="00D70F3B"/>
    <w:rPr>
      <w:rFonts w:ascii="Garamond" w:eastAsia="Arial" w:hAnsi="Garamond" w:cs="Arial"/>
      <w:b/>
      <w:lang w:eastAsia="es-MX"/>
    </w:rPr>
  </w:style>
  <w:style w:type="paragraph" w:customStyle="1" w:styleId="Estilo1TituloEstudiodelsector">
    <w:name w:val="Estilo1 Titulo Estudio del sector"/>
    <w:basedOn w:val="Normal"/>
    <w:link w:val="Estilo1TituloEstudiodelsectorCar"/>
    <w:qFormat/>
    <w:rsid w:val="00D70F3B"/>
    <w:pPr>
      <w:numPr>
        <w:numId w:val="4"/>
      </w:numPr>
      <w:contextualSpacing/>
      <w:jc w:val="both"/>
    </w:pPr>
    <w:rPr>
      <w:rFonts w:ascii="Garamond" w:eastAsia="Arial" w:hAnsi="Garamond" w:cs="Arial"/>
      <w:b/>
      <w:lang w:eastAsia="es-MX"/>
    </w:rPr>
  </w:style>
  <w:style w:type="table" w:styleId="Tablanormal1">
    <w:name w:val="Plain Table 1"/>
    <w:basedOn w:val="Tablanormal"/>
    <w:uiPriority w:val="41"/>
    <w:rsid w:val="00D70F3B"/>
    <w:rPr>
      <w:rFonts w:asciiTheme="minorHAnsi" w:eastAsiaTheme="minorEastAsia" w:hAnsiTheme="minorHAnsi" w:cstheme="minorBidi"/>
      <w:kern w:val="2"/>
      <w:sz w:val="22"/>
      <w:szCs w:val="22"/>
      <w14:ligatures w14:val="standardContextual"/>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clara">
    <w:name w:val="Grid Table Light"/>
    <w:basedOn w:val="Tablanormal"/>
    <w:uiPriority w:val="40"/>
    <w:rsid w:val="007931D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vortaltextbox">
    <w:name w:val="vortaltextbox"/>
    <w:basedOn w:val="Fuentedeprrafopredeter"/>
    <w:rsid w:val="00BD6067"/>
  </w:style>
  <w:style w:type="character" w:customStyle="1" w:styleId="Mencinsinresolver4">
    <w:name w:val="Mención sin resolver4"/>
    <w:basedOn w:val="Fuentedeprrafopredeter"/>
    <w:uiPriority w:val="99"/>
    <w:semiHidden/>
    <w:unhideWhenUsed/>
    <w:rsid w:val="006A4052"/>
    <w:rPr>
      <w:color w:val="605E5C"/>
      <w:shd w:val="clear" w:color="auto" w:fill="E1DFDD"/>
    </w:rPr>
  </w:style>
  <w:style w:type="character" w:customStyle="1" w:styleId="vortaltagspan">
    <w:name w:val="vortaltagspan"/>
    <w:basedOn w:val="Fuentedeprrafopredeter"/>
    <w:rsid w:val="001F6728"/>
  </w:style>
  <w:style w:type="character" w:customStyle="1" w:styleId="Mencinsinresolver5">
    <w:name w:val="Mención sin resolver5"/>
    <w:basedOn w:val="Fuentedeprrafopredeter"/>
    <w:uiPriority w:val="99"/>
    <w:semiHidden/>
    <w:unhideWhenUsed/>
    <w:rsid w:val="004B05BA"/>
    <w:rPr>
      <w:color w:val="605E5C"/>
      <w:shd w:val="clear" w:color="auto" w:fill="E1DFDD"/>
    </w:rPr>
  </w:style>
  <w:style w:type="character" w:customStyle="1" w:styleId="vortalspan">
    <w:name w:val="vortalspan"/>
    <w:basedOn w:val="Fuentedeprrafopredeter"/>
    <w:rsid w:val="00FD7E3A"/>
  </w:style>
  <w:style w:type="character" w:customStyle="1" w:styleId="TextocomentarioCar1">
    <w:name w:val="Texto comentario Car1"/>
    <w:uiPriority w:val="99"/>
    <w:rsid w:val="00310A8F"/>
    <w:rPr>
      <w:sz w:val="20"/>
    </w:rPr>
  </w:style>
  <w:style w:type="character" w:customStyle="1" w:styleId="Mencinsinresolver6">
    <w:name w:val="Mención sin resolver6"/>
    <w:basedOn w:val="Fuentedeprrafopredeter"/>
    <w:uiPriority w:val="99"/>
    <w:semiHidden/>
    <w:unhideWhenUsed/>
    <w:rsid w:val="008B622C"/>
    <w:rPr>
      <w:color w:val="605E5C"/>
      <w:shd w:val="clear" w:color="auto" w:fill="E1DFDD"/>
    </w:rPr>
  </w:style>
  <w:style w:type="paragraph" w:customStyle="1" w:styleId="Estudio">
    <w:name w:val="Estudio"/>
    <w:basedOn w:val="Normal"/>
    <w:link w:val="EstudioCar"/>
    <w:qFormat/>
    <w:rsid w:val="00706E4B"/>
    <w:pPr>
      <w:tabs>
        <w:tab w:val="left" w:pos="851"/>
      </w:tabs>
      <w:suppressAutoHyphens/>
      <w:autoSpaceDN w:val="0"/>
      <w:jc w:val="both"/>
      <w:textAlignment w:val="baseline"/>
    </w:pPr>
    <w:rPr>
      <w:rFonts w:ascii="Garamond" w:hAnsi="Garamond" w:cs="Arial"/>
      <w:bCs/>
      <w:kern w:val="3"/>
      <w:sz w:val="24"/>
      <w:szCs w:val="24"/>
      <w:lang w:eastAsia="zh-CN"/>
    </w:rPr>
  </w:style>
  <w:style w:type="character" w:customStyle="1" w:styleId="EstudioCar">
    <w:name w:val="Estudio Car"/>
    <w:basedOn w:val="Fuentedeprrafopredeter"/>
    <w:link w:val="Estudio"/>
    <w:rsid w:val="00706E4B"/>
    <w:rPr>
      <w:rFonts w:ascii="Garamond" w:hAnsi="Garamond" w:cs="Arial"/>
      <w:bCs/>
      <w:kern w:val="3"/>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797327">
      <w:bodyDiv w:val="1"/>
      <w:marLeft w:val="0"/>
      <w:marRight w:val="0"/>
      <w:marTop w:val="0"/>
      <w:marBottom w:val="0"/>
      <w:divBdr>
        <w:top w:val="none" w:sz="0" w:space="0" w:color="auto"/>
        <w:left w:val="none" w:sz="0" w:space="0" w:color="auto"/>
        <w:bottom w:val="none" w:sz="0" w:space="0" w:color="auto"/>
        <w:right w:val="none" w:sz="0" w:space="0" w:color="auto"/>
      </w:divBdr>
    </w:div>
    <w:div w:id="27881981">
      <w:bodyDiv w:val="1"/>
      <w:marLeft w:val="0"/>
      <w:marRight w:val="0"/>
      <w:marTop w:val="0"/>
      <w:marBottom w:val="0"/>
      <w:divBdr>
        <w:top w:val="none" w:sz="0" w:space="0" w:color="auto"/>
        <w:left w:val="none" w:sz="0" w:space="0" w:color="auto"/>
        <w:bottom w:val="none" w:sz="0" w:space="0" w:color="auto"/>
        <w:right w:val="none" w:sz="0" w:space="0" w:color="auto"/>
      </w:divBdr>
    </w:div>
    <w:div w:id="78184879">
      <w:bodyDiv w:val="1"/>
      <w:marLeft w:val="0"/>
      <w:marRight w:val="0"/>
      <w:marTop w:val="0"/>
      <w:marBottom w:val="0"/>
      <w:divBdr>
        <w:top w:val="none" w:sz="0" w:space="0" w:color="auto"/>
        <w:left w:val="none" w:sz="0" w:space="0" w:color="auto"/>
        <w:bottom w:val="none" w:sz="0" w:space="0" w:color="auto"/>
        <w:right w:val="none" w:sz="0" w:space="0" w:color="auto"/>
      </w:divBdr>
    </w:div>
    <w:div w:id="109789017">
      <w:bodyDiv w:val="1"/>
      <w:marLeft w:val="0"/>
      <w:marRight w:val="0"/>
      <w:marTop w:val="0"/>
      <w:marBottom w:val="0"/>
      <w:divBdr>
        <w:top w:val="none" w:sz="0" w:space="0" w:color="auto"/>
        <w:left w:val="none" w:sz="0" w:space="0" w:color="auto"/>
        <w:bottom w:val="none" w:sz="0" w:space="0" w:color="auto"/>
        <w:right w:val="none" w:sz="0" w:space="0" w:color="auto"/>
      </w:divBdr>
    </w:div>
    <w:div w:id="161118249">
      <w:bodyDiv w:val="1"/>
      <w:marLeft w:val="0"/>
      <w:marRight w:val="0"/>
      <w:marTop w:val="0"/>
      <w:marBottom w:val="0"/>
      <w:divBdr>
        <w:top w:val="none" w:sz="0" w:space="0" w:color="auto"/>
        <w:left w:val="none" w:sz="0" w:space="0" w:color="auto"/>
        <w:bottom w:val="none" w:sz="0" w:space="0" w:color="auto"/>
        <w:right w:val="none" w:sz="0" w:space="0" w:color="auto"/>
      </w:divBdr>
    </w:div>
    <w:div w:id="203253493">
      <w:bodyDiv w:val="1"/>
      <w:marLeft w:val="0"/>
      <w:marRight w:val="0"/>
      <w:marTop w:val="0"/>
      <w:marBottom w:val="0"/>
      <w:divBdr>
        <w:top w:val="none" w:sz="0" w:space="0" w:color="auto"/>
        <w:left w:val="none" w:sz="0" w:space="0" w:color="auto"/>
        <w:bottom w:val="none" w:sz="0" w:space="0" w:color="auto"/>
        <w:right w:val="none" w:sz="0" w:space="0" w:color="auto"/>
      </w:divBdr>
    </w:div>
    <w:div w:id="246764933">
      <w:bodyDiv w:val="1"/>
      <w:marLeft w:val="0"/>
      <w:marRight w:val="0"/>
      <w:marTop w:val="0"/>
      <w:marBottom w:val="0"/>
      <w:divBdr>
        <w:top w:val="none" w:sz="0" w:space="0" w:color="auto"/>
        <w:left w:val="none" w:sz="0" w:space="0" w:color="auto"/>
        <w:bottom w:val="none" w:sz="0" w:space="0" w:color="auto"/>
        <w:right w:val="none" w:sz="0" w:space="0" w:color="auto"/>
      </w:divBdr>
    </w:div>
    <w:div w:id="346492350">
      <w:bodyDiv w:val="1"/>
      <w:marLeft w:val="0"/>
      <w:marRight w:val="0"/>
      <w:marTop w:val="0"/>
      <w:marBottom w:val="0"/>
      <w:divBdr>
        <w:top w:val="none" w:sz="0" w:space="0" w:color="auto"/>
        <w:left w:val="none" w:sz="0" w:space="0" w:color="auto"/>
        <w:bottom w:val="none" w:sz="0" w:space="0" w:color="auto"/>
        <w:right w:val="none" w:sz="0" w:space="0" w:color="auto"/>
      </w:divBdr>
    </w:div>
    <w:div w:id="387725780">
      <w:bodyDiv w:val="1"/>
      <w:marLeft w:val="0"/>
      <w:marRight w:val="0"/>
      <w:marTop w:val="0"/>
      <w:marBottom w:val="0"/>
      <w:divBdr>
        <w:top w:val="none" w:sz="0" w:space="0" w:color="auto"/>
        <w:left w:val="none" w:sz="0" w:space="0" w:color="auto"/>
        <w:bottom w:val="none" w:sz="0" w:space="0" w:color="auto"/>
        <w:right w:val="none" w:sz="0" w:space="0" w:color="auto"/>
      </w:divBdr>
    </w:div>
    <w:div w:id="427505515">
      <w:bodyDiv w:val="1"/>
      <w:marLeft w:val="0"/>
      <w:marRight w:val="0"/>
      <w:marTop w:val="0"/>
      <w:marBottom w:val="0"/>
      <w:divBdr>
        <w:top w:val="none" w:sz="0" w:space="0" w:color="auto"/>
        <w:left w:val="none" w:sz="0" w:space="0" w:color="auto"/>
        <w:bottom w:val="none" w:sz="0" w:space="0" w:color="auto"/>
        <w:right w:val="none" w:sz="0" w:space="0" w:color="auto"/>
      </w:divBdr>
    </w:div>
    <w:div w:id="448398312">
      <w:bodyDiv w:val="1"/>
      <w:marLeft w:val="0"/>
      <w:marRight w:val="0"/>
      <w:marTop w:val="0"/>
      <w:marBottom w:val="0"/>
      <w:divBdr>
        <w:top w:val="none" w:sz="0" w:space="0" w:color="auto"/>
        <w:left w:val="none" w:sz="0" w:space="0" w:color="auto"/>
        <w:bottom w:val="none" w:sz="0" w:space="0" w:color="auto"/>
        <w:right w:val="none" w:sz="0" w:space="0" w:color="auto"/>
      </w:divBdr>
    </w:div>
    <w:div w:id="482893057">
      <w:bodyDiv w:val="1"/>
      <w:marLeft w:val="0"/>
      <w:marRight w:val="0"/>
      <w:marTop w:val="0"/>
      <w:marBottom w:val="0"/>
      <w:divBdr>
        <w:top w:val="none" w:sz="0" w:space="0" w:color="auto"/>
        <w:left w:val="none" w:sz="0" w:space="0" w:color="auto"/>
        <w:bottom w:val="none" w:sz="0" w:space="0" w:color="auto"/>
        <w:right w:val="none" w:sz="0" w:space="0" w:color="auto"/>
      </w:divBdr>
    </w:div>
    <w:div w:id="507058367">
      <w:bodyDiv w:val="1"/>
      <w:marLeft w:val="0"/>
      <w:marRight w:val="0"/>
      <w:marTop w:val="0"/>
      <w:marBottom w:val="0"/>
      <w:divBdr>
        <w:top w:val="none" w:sz="0" w:space="0" w:color="auto"/>
        <w:left w:val="none" w:sz="0" w:space="0" w:color="auto"/>
        <w:bottom w:val="none" w:sz="0" w:space="0" w:color="auto"/>
        <w:right w:val="none" w:sz="0" w:space="0" w:color="auto"/>
      </w:divBdr>
    </w:div>
    <w:div w:id="533270579">
      <w:bodyDiv w:val="1"/>
      <w:marLeft w:val="0"/>
      <w:marRight w:val="0"/>
      <w:marTop w:val="0"/>
      <w:marBottom w:val="0"/>
      <w:divBdr>
        <w:top w:val="none" w:sz="0" w:space="0" w:color="auto"/>
        <w:left w:val="none" w:sz="0" w:space="0" w:color="auto"/>
        <w:bottom w:val="none" w:sz="0" w:space="0" w:color="auto"/>
        <w:right w:val="none" w:sz="0" w:space="0" w:color="auto"/>
      </w:divBdr>
    </w:div>
    <w:div w:id="543835513">
      <w:bodyDiv w:val="1"/>
      <w:marLeft w:val="0"/>
      <w:marRight w:val="0"/>
      <w:marTop w:val="0"/>
      <w:marBottom w:val="0"/>
      <w:divBdr>
        <w:top w:val="none" w:sz="0" w:space="0" w:color="auto"/>
        <w:left w:val="none" w:sz="0" w:space="0" w:color="auto"/>
        <w:bottom w:val="none" w:sz="0" w:space="0" w:color="auto"/>
        <w:right w:val="none" w:sz="0" w:space="0" w:color="auto"/>
      </w:divBdr>
    </w:div>
    <w:div w:id="559173639">
      <w:bodyDiv w:val="1"/>
      <w:marLeft w:val="0"/>
      <w:marRight w:val="0"/>
      <w:marTop w:val="0"/>
      <w:marBottom w:val="0"/>
      <w:divBdr>
        <w:top w:val="none" w:sz="0" w:space="0" w:color="auto"/>
        <w:left w:val="none" w:sz="0" w:space="0" w:color="auto"/>
        <w:bottom w:val="none" w:sz="0" w:space="0" w:color="auto"/>
        <w:right w:val="none" w:sz="0" w:space="0" w:color="auto"/>
      </w:divBdr>
    </w:div>
    <w:div w:id="564417513">
      <w:bodyDiv w:val="1"/>
      <w:marLeft w:val="0"/>
      <w:marRight w:val="0"/>
      <w:marTop w:val="0"/>
      <w:marBottom w:val="0"/>
      <w:divBdr>
        <w:top w:val="none" w:sz="0" w:space="0" w:color="auto"/>
        <w:left w:val="none" w:sz="0" w:space="0" w:color="auto"/>
        <w:bottom w:val="none" w:sz="0" w:space="0" w:color="auto"/>
        <w:right w:val="none" w:sz="0" w:space="0" w:color="auto"/>
      </w:divBdr>
    </w:div>
    <w:div w:id="571505004">
      <w:bodyDiv w:val="1"/>
      <w:marLeft w:val="0"/>
      <w:marRight w:val="0"/>
      <w:marTop w:val="0"/>
      <w:marBottom w:val="0"/>
      <w:divBdr>
        <w:top w:val="none" w:sz="0" w:space="0" w:color="auto"/>
        <w:left w:val="none" w:sz="0" w:space="0" w:color="auto"/>
        <w:bottom w:val="none" w:sz="0" w:space="0" w:color="auto"/>
        <w:right w:val="none" w:sz="0" w:space="0" w:color="auto"/>
      </w:divBdr>
    </w:div>
    <w:div w:id="585305139">
      <w:bodyDiv w:val="1"/>
      <w:marLeft w:val="0"/>
      <w:marRight w:val="0"/>
      <w:marTop w:val="0"/>
      <w:marBottom w:val="0"/>
      <w:divBdr>
        <w:top w:val="none" w:sz="0" w:space="0" w:color="auto"/>
        <w:left w:val="none" w:sz="0" w:space="0" w:color="auto"/>
        <w:bottom w:val="none" w:sz="0" w:space="0" w:color="auto"/>
        <w:right w:val="none" w:sz="0" w:space="0" w:color="auto"/>
      </w:divBdr>
      <w:divsChild>
        <w:div w:id="2036536996">
          <w:marLeft w:val="0"/>
          <w:marRight w:val="0"/>
          <w:marTop w:val="0"/>
          <w:marBottom w:val="0"/>
          <w:divBdr>
            <w:top w:val="none" w:sz="0" w:space="0" w:color="auto"/>
            <w:left w:val="none" w:sz="0" w:space="0" w:color="auto"/>
            <w:bottom w:val="none" w:sz="0" w:space="0" w:color="auto"/>
            <w:right w:val="none" w:sz="0" w:space="0" w:color="auto"/>
          </w:divBdr>
        </w:div>
      </w:divsChild>
    </w:div>
    <w:div w:id="587274384">
      <w:bodyDiv w:val="1"/>
      <w:marLeft w:val="0"/>
      <w:marRight w:val="0"/>
      <w:marTop w:val="0"/>
      <w:marBottom w:val="0"/>
      <w:divBdr>
        <w:top w:val="none" w:sz="0" w:space="0" w:color="auto"/>
        <w:left w:val="none" w:sz="0" w:space="0" w:color="auto"/>
        <w:bottom w:val="none" w:sz="0" w:space="0" w:color="auto"/>
        <w:right w:val="none" w:sz="0" w:space="0" w:color="auto"/>
      </w:divBdr>
    </w:div>
    <w:div w:id="608244770">
      <w:bodyDiv w:val="1"/>
      <w:marLeft w:val="0"/>
      <w:marRight w:val="0"/>
      <w:marTop w:val="0"/>
      <w:marBottom w:val="0"/>
      <w:divBdr>
        <w:top w:val="none" w:sz="0" w:space="0" w:color="auto"/>
        <w:left w:val="none" w:sz="0" w:space="0" w:color="auto"/>
        <w:bottom w:val="none" w:sz="0" w:space="0" w:color="auto"/>
        <w:right w:val="none" w:sz="0" w:space="0" w:color="auto"/>
      </w:divBdr>
    </w:div>
    <w:div w:id="674379288">
      <w:bodyDiv w:val="1"/>
      <w:marLeft w:val="0"/>
      <w:marRight w:val="0"/>
      <w:marTop w:val="0"/>
      <w:marBottom w:val="0"/>
      <w:divBdr>
        <w:top w:val="none" w:sz="0" w:space="0" w:color="auto"/>
        <w:left w:val="none" w:sz="0" w:space="0" w:color="auto"/>
        <w:bottom w:val="none" w:sz="0" w:space="0" w:color="auto"/>
        <w:right w:val="none" w:sz="0" w:space="0" w:color="auto"/>
      </w:divBdr>
    </w:div>
    <w:div w:id="685983873">
      <w:bodyDiv w:val="1"/>
      <w:marLeft w:val="0"/>
      <w:marRight w:val="0"/>
      <w:marTop w:val="0"/>
      <w:marBottom w:val="0"/>
      <w:divBdr>
        <w:top w:val="none" w:sz="0" w:space="0" w:color="auto"/>
        <w:left w:val="none" w:sz="0" w:space="0" w:color="auto"/>
        <w:bottom w:val="none" w:sz="0" w:space="0" w:color="auto"/>
        <w:right w:val="none" w:sz="0" w:space="0" w:color="auto"/>
      </w:divBdr>
    </w:div>
    <w:div w:id="764959924">
      <w:bodyDiv w:val="1"/>
      <w:marLeft w:val="0"/>
      <w:marRight w:val="0"/>
      <w:marTop w:val="0"/>
      <w:marBottom w:val="0"/>
      <w:divBdr>
        <w:top w:val="none" w:sz="0" w:space="0" w:color="auto"/>
        <w:left w:val="none" w:sz="0" w:space="0" w:color="auto"/>
        <w:bottom w:val="none" w:sz="0" w:space="0" w:color="auto"/>
        <w:right w:val="none" w:sz="0" w:space="0" w:color="auto"/>
      </w:divBdr>
    </w:div>
    <w:div w:id="789974968">
      <w:bodyDiv w:val="1"/>
      <w:marLeft w:val="0"/>
      <w:marRight w:val="0"/>
      <w:marTop w:val="0"/>
      <w:marBottom w:val="0"/>
      <w:divBdr>
        <w:top w:val="none" w:sz="0" w:space="0" w:color="auto"/>
        <w:left w:val="none" w:sz="0" w:space="0" w:color="auto"/>
        <w:bottom w:val="none" w:sz="0" w:space="0" w:color="auto"/>
        <w:right w:val="none" w:sz="0" w:space="0" w:color="auto"/>
      </w:divBdr>
    </w:div>
    <w:div w:id="814177989">
      <w:bodyDiv w:val="1"/>
      <w:marLeft w:val="0"/>
      <w:marRight w:val="0"/>
      <w:marTop w:val="0"/>
      <w:marBottom w:val="0"/>
      <w:divBdr>
        <w:top w:val="none" w:sz="0" w:space="0" w:color="auto"/>
        <w:left w:val="none" w:sz="0" w:space="0" w:color="auto"/>
        <w:bottom w:val="none" w:sz="0" w:space="0" w:color="auto"/>
        <w:right w:val="none" w:sz="0" w:space="0" w:color="auto"/>
      </w:divBdr>
    </w:div>
    <w:div w:id="817889355">
      <w:bodyDiv w:val="1"/>
      <w:marLeft w:val="0"/>
      <w:marRight w:val="0"/>
      <w:marTop w:val="0"/>
      <w:marBottom w:val="0"/>
      <w:divBdr>
        <w:top w:val="none" w:sz="0" w:space="0" w:color="auto"/>
        <w:left w:val="none" w:sz="0" w:space="0" w:color="auto"/>
        <w:bottom w:val="none" w:sz="0" w:space="0" w:color="auto"/>
        <w:right w:val="none" w:sz="0" w:space="0" w:color="auto"/>
      </w:divBdr>
    </w:div>
    <w:div w:id="823007480">
      <w:bodyDiv w:val="1"/>
      <w:marLeft w:val="0"/>
      <w:marRight w:val="0"/>
      <w:marTop w:val="0"/>
      <w:marBottom w:val="0"/>
      <w:divBdr>
        <w:top w:val="none" w:sz="0" w:space="0" w:color="auto"/>
        <w:left w:val="none" w:sz="0" w:space="0" w:color="auto"/>
        <w:bottom w:val="none" w:sz="0" w:space="0" w:color="auto"/>
        <w:right w:val="none" w:sz="0" w:space="0" w:color="auto"/>
      </w:divBdr>
    </w:div>
    <w:div w:id="874466270">
      <w:bodyDiv w:val="1"/>
      <w:marLeft w:val="0"/>
      <w:marRight w:val="0"/>
      <w:marTop w:val="0"/>
      <w:marBottom w:val="0"/>
      <w:divBdr>
        <w:top w:val="none" w:sz="0" w:space="0" w:color="auto"/>
        <w:left w:val="none" w:sz="0" w:space="0" w:color="auto"/>
        <w:bottom w:val="none" w:sz="0" w:space="0" w:color="auto"/>
        <w:right w:val="none" w:sz="0" w:space="0" w:color="auto"/>
      </w:divBdr>
    </w:div>
    <w:div w:id="882133052">
      <w:bodyDiv w:val="1"/>
      <w:marLeft w:val="0"/>
      <w:marRight w:val="0"/>
      <w:marTop w:val="0"/>
      <w:marBottom w:val="0"/>
      <w:divBdr>
        <w:top w:val="none" w:sz="0" w:space="0" w:color="auto"/>
        <w:left w:val="none" w:sz="0" w:space="0" w:color="auto"/>
        <w:bottom w:val="none" w:sz="0" w:space="0" w:color="auto"/>
        <w:right w:val="none" w:sz="0" w:space="0" w:color="auto"/>
      </w:divBdr>
    </w:div>
    <w:div w:id="891042273">
      <w:bodyDiv w:val="1"/>
      <w:marLeft w:val="0"/>
      <w:marRight w:val="0"/>
      <w:marTop w:val="0"/>
      <w:marBottom w:val="0"/>
      <w:divBdr>
        <w:top w:val="none" w:sz="0" w:space="0" w:color="auto"/>
        <w:left w:val="none" w:sz="0" w:space="0" w:color="auto"/>
        <w:bottom w:val="none" w:sz="0" w:space="0" w:color="auto"/>
        <w:right w:val="none" w:sz="0" w:space="0" w:color="auto"/>
      </w:divBdr>
    </w:div>
    <w:div w:id="892741728">
      <w:bodyDiv w:val="1"/>
      <w:marLeft w:val="0"/>
      <w:marRight w:val="0"/>
      <w:marTop w:val="0"/>
      <w:marBottom w:val="0"/>
      <w:divBdr>
        <w:top w:val="none" w:sz="0" w:space="0" w:color="auto"/>
        <w:left w:val="none" w:sz="0" w:space="0" w:color="auto"/>
        <w:bottom w:val="none" w:sz="0" w:space="0" w:color="auto"/>
        <w:right w:val="none" w:sz="0" w:space="0" w:color="auto"/>
      </w:divBdr>
    </w:div>
    <w:div w:id="971517245">
      <w:bodyDiv w:val="1"/>
      <w:marLeft w:val="0"/>
      <w:marRight w:val="0"/>
      <w:marTop w:val="0"/>
      <w:marBottom w:val="0"/>
      <w:divBdr>
        <w:top w:val="none" w:sz="0" w:space="0" w:color="auto"/>
        <w:left w:val="none" w:sz="0" w:space="0" w:color="auto"/>
        <w:bottom w:val="none" w:sz="0" w:space="0" w:color="auto"/>
        <w:right w:val="none" w:sz="0" w:space="0" w:color="auto"/>
      </w:divBdr>
    </w:div>
    <w:div w:id="976447972">
      <w:bodyDiv w:val="1"/>
      <w:marLeft w:val="0"/>
      <w:marRight w:val="0"/>
      <w:marTop w:val="0"/>
      <w:marBottom w:val="0"/>
      <w:divBdr>
        <w:top w:val="none" w:sz="0" w:space="0" w:color="auto"/>
        <w:left w:val="none" w:sz="0" w:space="0" w:color="auto"/>
        <w:bottom w:val="none" w:sz="0" w:space="0" w:color="auto"/>
        <w:right w:val="none" w:sz="0" w:space="0" w:color="auto"/>
      </w:divBdr>
    </w:div>
    <w:div w:id="981080964">
      <w:bodyDiv w:val="1"/>
      <w:marLeft w:val="0"/>
      <w:marRight w:val="0"/>
      <w:marTop w:val="0"/>
      <w:marBottom w:val="0"/>
      <w:divBdr>
        <w:top w:val="none" w:sz="0" w:space="0" w:color="auto"/>
        <w:left w:val="none" w:sz="0" w:space="0" w:color="auto"/>
        <w:bottom w:val="none" w:sz="0" w:space="0" w:color="auto"/>
        <w:right w:val="none" w:sz="0" w:space="0" w:color="auto"/>
      </w:divBdr>
    </w:div>
    <w:div w:id="1015811782">
      <w:bodyDiv w:val="1"/>
      <w:marLeft w:val="0"/>
      <w:marRight w:val="0"/>
      <w:marTop w:val="0"/>
      <w:marBottom w:val="0"/>
      <w:divBdr>
        <w:top w:val="none" w:sz="0" w:space="0" w:color="auto"/>
        <w:left w:val="none" w:sz="0" w:space="0" w:color="auto"/>
        <w:bottom w:val="none" w:sz="0" w:space="0" w:color="auto"/>
        <w:right w:val="none" w:sz="0" w:space="0" w:color="auto"/>
      </w:divBdr>
    </w:div>
    <w:div w:id="1016275445">
      <w:bodyDiv w:val="1"/>
      <w:marLeft w:val="0"/>
      <w:marRight w:val="0"/>
      <w:marTop w:val="0"/>
      <w:marBottom w:val="0"/>
      <w:divBdr>
        <w:top w:val="none" w:sz="0" w:space="0" w:color="auto"/>
        <w:left w:val="none" w:sz="0" w:space="0" w:color="auto"/>
        <w:bottom w:val="none" w:sz="0" w:space="0" w:color="auto"/>
        <w:right w:val="none" w:sz="0" w:space="0" w:color="auto"/>
      </w:divBdr>
    </w:div>
    <w:div w:id="1032413397">
      <w:bodyDiv w:val="1"/>
      <w:marLeft w:val="0"/>
      <w:marRight w:val="0"/>
      <w:marTop w:val="0"/>
      <w:marBottom w:val="0"/>
      <w:divBdr>
        <w:top w:val="none" w:sz="0" w:space="0" w:color="auto"/>
        <w:left w:val="none" w:sz="0" w:space="0" w:color="auto"/>
        <w:bottom w:val="none" w:sz="0" w:space="0" w:color="auto"/>
        <w:right w:val="none" w:sz="0" w:space="0" w:color="auto"/>
      </w:divBdr>
    </w:div>
    <w:div w:id="1038166251">
      <w:bodyDiv w:val="1"/>
      <w:marLeft w:val="0"/>
      <w:marRight w:val="0"/>
      <w:marTop w:val="0"/>
      <w:marBottom w:val="0"/>
      <w:divBdr>
        <w:top w:val="none" w:sz="0" w:space="0" w:color="auto"/>
        <w:left w:val="none" w:sz="0" w:space="0" w:color="auto"/>
        <w:bottom w:val="none" w:sz="0" w:space="0" w:color="auto"/>
        <w:right w:val="none" w:sz="0" w:space="0" w:color="auto"/>
      </w:divBdr>
    </w:div>
    <w:div w:id="1040665961">
      <w:bodyDiv w:val="1"/>
      <w:marLeft w:val="0"/>
      <w:marRight w:val="0"/>
      <w:marTop w:val="0"/>
      <w:marBottom w:val="0"/>
      <w:divBdr>
        <w:top w:val="none" w:sz="0" w:space="0" w:color="auto"/>
        <w:left w:val="none" w:sz="0" w:space="0" w:color="auto"/>
        <w:bottom w:val="none" w:sz="0" w:space="0" w:color="auto"/>
        <w:right w:val="none" w:sz="0" w:space="0" w:color="auto"/>
      </w:divBdr>
    </w:div>
    <w:div w:id="1070616771">
      <w:bodyDiv w:val="1"/>
      <w:marLeft w:val="0"/>
      <w:marRight w:val="0"/>
      <w:marTop w:val="0"/>
      <w:marBottom w:val="0"/>
      <w:divBdr>
        <w:top w:val="none" w:sz="0" w:space="0" w:color="auto"/>
        <w:left w:val="none" w:sz="0" w:space="0" w:color="auto"/>
        <w:bottom w:val="none" w:sz="0" w:space="0" w:color="auto"/>
        <w:right w:val="none" w:sz="0" w:space="0" w:color="auto"/>
      </w:divBdr>
    </w:div>
    <w:div w:id="1086923559">
      <w:bodyDiv w:val="1"/>
      <w:marLeft w:val="0"/>
      <w:marRight w:val="0"/>
      <w:marTop w:val="0"/>
      <w:marBottom w:val="0"/>
      <w:divBdr>
        <w:top w:val="none" w:sz="0" w:space="0" w:color="auto"/>
        <w:left w:val="none" w:sz="0" w:space="0" w:color="auto"/>
        <w:bottom w:val="none" w:sz="0" w:space="0" w:color="auto"/>
        <w:right w:val="none" w:sz="0" w:space="0" w:color="auto"/>
      </w:divBdr>
    </w:div>
    <w:div w:id="1098335820">
      <w:bodyDiv w:val="1"/>
      <w:marLeft w:val="0"/>
      <w:marRight w:val="0"/>
      <w:marTop w:val="0"/>
      <w:marBottom w:val="0"/>
      <w:divBdr>
        <w:top w:val="none" w:sz="0" w:space="0" w:color="auto"/>
        <w:left w:val="none" w:sz="0" w:space="0" w:color="auto"/>
        <w:bottom w:val="none" w:sz="0" w:space="0" w:color="auto"/>
        <w:right w:val="none" w:sz="0" w:space="0" w:color="auto"/>
      </w:divBdr>
    </w:div>
    <w:div w:id="1149634068">
      <w:bodyDiv w:val="1"/>
      <w:marLeft w:val="0"/>
      <w:marRight w:val="0"/>
      <w:marTop w:val="0"/>
      <w:marBottom w:val="0"/>
      <w:divBdr>
        <w:top w:val="none" w:sz="0" w:space="0" w:color="auto"/>
        <w:left w:val="none" w:sz="0" w:space="0" w:color="auto"/>
        <w:bottom w:val="none" w:sz="0" w:space="0" w:color="auto"/>
        <w:right w:val="none" w:sz="0" w:space="0" w:color="auto"/>
      </w:divBdr>
    </w:div>
    <w:div w:id="1159076478">
      <w:bodyDiv w:val="1"/>
      <w:marLeft w:val="0"/>
      <w:marRight w:val="0"/>
      <w:marTop w:val="0"/>
      <w:marBottom w:val="0"/>
      <w:divBdr>
        <w:top w:val="none" w:sz="0" w:space="0" w:color="auto"/>
        <w:left w:val="none" w:sz="0" w:space="0" w:color="auto"/>
        <w:bottom w:val="none" w:sz="0" w:space="0" w:color="auto"/>
        <w:right w:val="none" w:sz="0" w:space="0" w:color="auto"/>
      </w:divBdr>
      <w:divsChild>
        <w:div w:id="2076269403">
          <w:marLeft w:val="0"/>
          <w:marRight w:val="0"/>
          <w:marTop w:val="0"/>
          <w:marBottom w:val="0"/>
          <w:divBdr>
            <w:top w:val="none" w:sz="0" w:space="0" w:color="auto"/>
            <w:left w:val="none" w:sz="0" w:space="0" w:color="auto"/>
            <w:bottom w:val="none" w:sz="0" w:space="0" w:color="auto"/>
            <w:right w:val="none" w:sz="0" w:space="0" w:color="auto"/>
          </w:divBdr>
        </w:div>
      </w:divsChild>
    </w:div>
    <w:div w:id="1170635264">
      <w:bodyDiv w:val="1"/>
      <w:marLeft w:val="0"/>
      <w:marRight w:val="0"/>
      <w:marTop w:val="0"/>
      <w:marBottom w:val="0"/>
      <w:divBdr>
        <w:top w:val="none" w:sz="0" w:space="0" w:color="auto"/>
        <w:left w:val="none" w:sz="0" w:space="0" w:color="auto"/>
        <w:bottom w:val="none" w:sz="0" w:space="0" w:color="auto"/>
        <w:right w:val="none" w:sz="0" w:space="0" w:color="auto"/>
      </w:divBdr>
    </w:div>
    <w:div w:id="1170675787">
      <w:bodyDiv w:val="1"/>
      <w:marLeft w:val="0"/>
      <w:marRight w:val="0"/>
      <w:marTop w:val="0"/>
      <w:marBottom w:val="0"/>
      <w:divBdr>
        <w:top w:val="none" w:sz="0" w:space="0" w:color="auto"/>
        <w:left w:val="none" w:sz="0" w:space="0" w:color="auto"/>
        <w:bottom w:val="none" w:sz="0" w:space="0" w:color="auto"/>
        <w:right w:val="none" w:sz="0" w:space="0" w:color="auto"/>
      </w:divBdr>
    </w:div>
    <w:div w:id="1187329158">
      <w:bodyDiv w:val="1"/>
      <w:marLeft w:val="0"/>
      <w:marRight w:val="0"/>
      <w:marTop w:val="0"/>
      <w:marBottom w:val="0"/>
      <w:divBdr>
        <w:top w:val="none" w:sz="0" w:space="0" w:color="auto"/>
        <w:left w:val="none" w:sz="0" w:space="0" w:color="auto"/>
        <w:bottom w:val="none" w:sz="0" w:space="0" w:color="auto"/>
        <w:right w:val="none" w:sz="0" w:space="0" w:color="auto"/>
      </w:divBdr>
    </w:div>
    <w:div w:id="1188635523">
      <w:bodyDiv w:val="1"/>
      <w:marLeft w:val="0"/>
      <w:marRight w:val="0"/>
      <w:marTop w:val="0"/>
      <w:marBottom w:val="0"/>
      <w:divBdr>
        <w:top w:val="none" w:sz="0" w:space="0" w:color="auto"/>
        <w:left w:val="none" w:sz="0" w:space="0" w:color="auto"/>
        <w:bottom w:val="none" w:sz="0" w:space="0" w:color="auto"/>
        <w:right w:val="none" w:sz="0" w:space="0" w:color="auto"/>
      </w:divBdr>
    </w:div>
    <w:div w:id="1191531579">
      <w:bodyDiv w:val="1"/>
      <w:marLeft w:val="0"/>
      <w:marRight w:val="0"/>
      <w:marTop w:val="0"/>
      <w:marBottom w:val="0"/>
      <w:divBdr>
        <w:top w:val="none" w:sz="0" w:space="0" w:color="auto"/>
        <w:left w:val="none" w:sz="0" w:space="0" w:color="auto"/>
        <w:bottom w:val="none" w:sz="0" w:space="0" w:color="auto"/>
        <w:right w:val="none" w:sz="0" w:space="0" w:color="auto"/>
      </w:divBdr>
    </w:div>
    <w:div w:id="1195536692">
      <w:bodyDiv w:val="1"/>
      <w:marLeft w:val="0"/>
      <w:marRight w:val="0"/>
      <w:marTop w:val="0"/>
      <w:marBottom w:val="0"/>
      <w:divBdr>
        <w:top w:val="none" w:sz="0" w:space="0" w:color="auto"/>
        <w:left w:val="none" w:sz="0" w:space="0" w:color="auto"/>
        <w:bottom w:val="none" w:sz="0" w:space="0" w:color="auto"/>
        <w:right w:val="none" w:sz="0" w:space="0" w:color="auto"/>
      </w:divBdr>
      <w:divsChild>
        <w:div w:id="240603229">
          <w:marLeft w:val="-75"/>
          <w:marRight w:val="-75"/>
          <w:marTop w:val="0"/>
          <w:marBottom w:val="0"/>
          <w:divBdr>
            <w:top w:val="none" w:sz="0" w:space="0" w:color="auto"/>
            <w:left w:val="none" w:sz="0" w:space="0" w:color="auto"/>
            <w:bottom w:val="none" w:sz="0" w:space="0" w:color="auto"/>
            <w:right w:val="none" w:sz="0" w:space="0" w:color="auto"/>
          </w:divBdr>
          <w:divsChild>
            <w:div w:id="1894661471">
              <w:marLeft w:val="0"/>
              <w:marRight w:val="0"/>
              <w:marTop w:val="0"/>
              <w:marBottom w:val="0"/>
              <w:divBdr>
                <w:top w:val="none" w:sz="0" w:space="0" w:color="auto"/>
                <w:left w:val="none" w:sz="0" w:space="0" w:color="auto"/>
                <w:bottom w:val="none" w:sz="0" w:space="0" w:color="auto"/>
                <w:right w:val="none" w:sz="0" w:space="0" w:color="auto"/>
              </w:divBdr>
              <w:divsChild>
                <w:div w:id="838664465">
                  <w:marLeft w:val="0"/>
                  <w:marRight w:val="0"/>
                  <w:marTop w:val="0"/>
                  <w:marBottom w:val="75"/>
                  <w:divBdr>
                    <w:top w:val="single" w:sz="6" w:space="0" w:color="B8B2AD"/>
                    <w:left w:val="single" w:sz="6" w:space="0" w:color="B8B2AD"/>
                    <w:bottom w:val="single" w:sz="6" w:space="0" w:color="B8B2AD"/>
                    <w:right w:val="single" w:sz="6" w:space="0" w:color="B8B2AD"/>
                  </w:divBdr>
                  <w:divsChild>
                    <w:div w:id="565576015">
                      <w:marLeft w:val="0"/>
                      <w:marRight w:val="0"/>
                      <w:marTop w:val="0"/>
                      <w:marBottom w:val="0"/>
                      <w:divBdr>
                        <w:top w:val="none" w:sz="0" w:space="0" w:color="auto"/>
                        <w:left w:val="none" w:sz="0" w:space="0" w:color="auto"/>
                        <w:bottom w:val="none" w:sz="0" w:space="0" w:color="auto"/>
                        <w:right w:val="none" w:sz="0" w:space="0" w:color="auto"/>
                      </w:divBdr>
                      <w:divsChild>
                        <w:div w:id="1846894169">
                          <w:marLeft w:val="0"/>
                          <w:marRight w:val="0"/>
                          <w:marTop w:val="0"/>
                          <w:marBottom w:val="0"/>
                          <w:divBdr>
                            <w:top w:val="none" w:sz="0" w:space="0" w:color="auto"/>
                            <w:left w:val="none" w:sz="0" w:space="0" w:color="auto"/>
                            <w:bottom w:val="none" w:sz="0" w:space="0" w:color="auto"/>
                            <w:right w:val="none" w:sz="0" w:space="0" w:color="auto"/>
                          </w:divBdr>
                          <w:divsChild>
                            <w:div w:id="329985143">
                              <w:marLeft w:val="0"/>
                              <w:marRight w:val="0"/>
                              <w:marTop w:val="0"/>
                              <w:marBottom w:val="0"/>
                              <w:divBdr>
                                <w:top w:val="none" w:sz="0" w:space="0" w:color="auto"/>
                                <w:left w:val="none" w:sz="0" w:space="0" w:color="auto"/>
                                <w:bottom w:val="none" w:sz="0" w:space="0" w:color="auto"/>
                                <w:right w:val="none" w:sz="0" w:space="0" w:color="auto"/>
                              </w:divBdr>
                              <w:divsChild>
                                <w:div w:id="1215392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7179081">
          <w:marLeft w:val="0"/>
          <w:marRight w:val="0"/>
          <w:marTop w:val="0"/>
          <w:marBottom w:val="0"/>
          <w:divBdr>
            <w:top w:val="none" w:sz="0" w:space="0" w:color="auto"/>
            <w:left w:val="none" w:sz="0" w:space="0" w:color="auto"/>
            <w:bottom w:val="none" w:sz="0" w:space="0" w:color="auto"/>
            <w:right w:val="none" w:sz="0" w:space="0" w:color="auto"/>
          </w:divBdr>
          <w:divsChild>
            <w:div w:id="482893357">
              <w:marLeft w:val="0"/>
              <w:marRight w:val="0"/>
              <w:marTop w:val="0"/>
              <w:marBottom w:val="150"/>
              <w:divBdr>
                <w:top w:val="single" w:sz="6" w:space="4" w:color="B7B1AB"/>
                <w:left w:val="none" w:sz="0" w:space="0" w:color="auto"/>
                <w:bottom w:val="single" w:sz="6" w:space="4" w:color="B7B1AB"/>
                <w:right w:val="none" w:sz="0" w:space="0" w:color="auto"/>
              </w:divBdr>
            </w:div>
          </w:divsChild>
        </w:div>
        <w:div w:id="1363048697">
          <w:marLeft w:val="-75"/>
          <w:marRight w:val="-75"/>
          <w:marTop w:val="0"/>
          <w:marBottom w:val="0"/>
          <w:divBdr>
            <w:top w:val="none" w:sz="0" w:space="0" w:color="auto"/>
            <w:left w:val="none" w:sz="0" w:space="0" w:color="auto"/>
            <w:bottom w:val="none" w:sz="0" w:space="0" w:color="auto"/>
            <w:right w:val="none" w:sz="0" w:space="0" w:color="auto"/>
          </w:divBdr>
          <w:divsChild>
            <w:div w:id="865024362">
              <w:marLeft w:val="0"/>
              <w:marRight w:val="0"/>
              <w:marTop w:val="0"/>
              <w:marBottom w:val="0"/>
              <w:divBdr>
                <w:top w:val="none" w:sz="0" w:space="0" w:color="auto"/>
                <w:left w:val="none" w:sz="0" w:space="0" w:color="auto"/>
                <w:bottom w:val="none" w:sz="0" w:space="0" w:color="auto"/>
                <w:right w:val="none" w:sz="0" w:space="0" w:color="auto"/>
              </w:divBdr>
              <w:divsChild>
                <w:div w:id="1152408487">
                  <w:marLeft w:val="0"/>
                  <w:marRight w:val="0"/>
                  <w:marTop w:val="0"/>
                  <w:marBottom w:val="75"/>
                  <w:divBdr>
                    <w:top w:val="single" w:sz="6" w:space="0" w:color="B8B2AD"/>
                    <w:left w:val="single" w:sz="6" w:space="0" w:color="B8B2AD"/>
                    <w:bottom w:val="single" w:sz="6" w:space="0" w:color="B8B2AD"/>
                    <w:right w:val="single" w:sz="6" w:space="0" w:color="B8B2AD"/>
                  </w:divBdr>
                  <w:divsChild>
                    <w:div w:id="469059707">
                      <w:marLeft w:val="0"/>
                      <w:marRight w:val="0"/>
                      <w:marTop w:val="0"/>
                      <w:marBottom w:val="0"/>
                      <w:divBdr>
                        <w:top w:val="none" w:sz="0" w:space="0" w:color="auto"/>
                        <w:left w:val="none" w:sz="0" w:space="0" w:color="auto"/>
                        <w:bottom w:val="none" w:sz="0" w:space="0" w:color="auto"/>
                        <w:right w:val="none" w:sz="0" w:space="0" w:color="auto"/>
                      </w:divBdr>
                      <w:divsChild>
                        <w:div w:id="766927402">
                          <w:marLeft w:val="0"/>
                          <w:marRight w:val="0"/>
                          <w:marTop w:val="0"/>
                          <w:marBottom w:val="0"/>
                          <w:divBdr>
                            <w:top w:val="none" w:sz="0" w:space="0" w:color="auto"/>
                            <w:left w:val="none" w:sz="0" w:space="0" w:color="auto"/>
                            <w:bottom w:val="none" w:sz="0" w:space="0" w:color="auto"/>
                            <w:right w:val="none" w:sz="0" w:space="0" w:color="auto"/>
                          </w:divBdr>
                          <w:divsChild>
                            <w:div w:id="943726929">
                              <w:marLeft w:val="0"/>
                              <w:marRight w:val="0"/>
                              <w:marTop w:val="0"/>
                              <w:marBottom w:val="0"/>
                              <w:divBdr>
                                <w:top w:val="none" w:sz="0" w:space="0" w:color="auto"/>
                                <w:left w:val="none" w:sz="0" w:space="0" w:color="auto"/>
                                <w:bottom w:val="none" w:sz="0" w:space="0" w:color="auto"/>
                                <w:right w:val="none" w:sz="0" w:space="0" w:color="auto"/>
                              </w:divBdr>
                              <w:divsChild>
                                <w:div w:id="983319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068116">
              <w:marLeft w:val="0"/>
              <w:marRight w:val="0"/>
              <w:marTop w:val="0"/>
              <w:marBottom w:val="0"/>
              <w:divBdr>
                <w:top w:val="none" w:sz="0" w:space="0" w:color="auto"/>
                <w:left w:val="none" w:sz="0" w:space="0" w:color="auto"/>
                <w:bottom w:val="none" w:sz="0" w:space="0" w:color="auto"/>
                <w:right w:val="none" w:sz="0" w:space="0" w:color="auto"/>
              </w:divBdr>
              <w:divsChild>
                <w:div w:id="1238782998">
                  <w:marLeft w:val="0"/>
                  <w:marRight w:val="0"/>
                  <w:marTop w:val="0"/>
                  <w:marBottom w:val="75"/>
                  <w:divBdr>
                    <w:top w:val="single" w:sz="6" w:space="0" w:color="B8B2AD"/>
                    <w:left w:val="single" w:sz="6" w:space="0" w:color="B8B2AD"/>
                    <w:bottom w:val="single" w:sz="6" w:space="0" w:color="B8B2AD"/>
                    <w:right w:val="single" w:sz="6" w:space="0" w:color="B8B2AD"/>
                  </w:divBdr>
                  <w:divsChild>
                    <w:div w:id="1432238926">
                      <w:marLeft w:val="0"/>
                      <w:marRight w:val="0"/>
                      <w:marTop w:val="0"/>
                      <w:marBottom w:val="0"/>
                      <w:divBdr>
                        <w:top w:val="none" w:sz="0" w:space="0" w:color="auto"/>
                        <w:left w:val="none" w:sz="0" w:space="0" w:color="auto"/>
                        <w:bottom w:val="none" w:sz="0" w:space="0" w:color="auto"/>
                        <w:right w:val="none" w:sz="0" w:space="0" w:color="auto"/>
                      </w:divBdr>
                      <w:divsChild>
                        <w:div w:id="2132019263">
                          <w:marLeft w:val="0"/>
                          <w:marRight w:val="0"/>
                          <w:marTop w:val="0"/>
                          <w:marBottom w:val="0"/>
                          <w:divBdr>
                            <w:top w:val="none" w:sz="0" w:space="0" w:color="auto"/>
                            <w:left w:val="none" w:sz="0" w:space="0" w:color="auto"/>
                            <w:bottom w:val="none" w:sz="0" w:space="0" w:color="auto"/>
                            <w:right w:val="none" w:sz="0" w:space="0" w:color="auto"/>
                          </w:divBdr>
                          <w:divsChild>
                            <w:div w:id="292949456">
                              <w:marLeft w:val="0"/>
                              <w:marRight w:val="0"/>
                              <w:marTop w:val="0"/>
                              <w:marBottom w:val="0"/>
                              <w:divBdr>
                                <w:top w:val="none" w:sz="0" w:space="0" w:color="auto"/>
                                <w:left w:val="none" w:sz="0" w:space="0" w:color="auto"/>
                                <w:bottom w:val="none" w:sz="0" w:space="0" w:color="auto"/>
                                <w:right w:val="none" w:sz="0" w:space="0" w:color="auto"/>
                              </w:divBdr>
                              <w:divsChild>
                                <w:div w:id="188772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07451112">
      <w:bodyDiv w:val="1"/>
      <w:marLeft w:val="0"/>
      <w:marRight w:val="0"/>
      <w:marTop w:val="0"/>
      <w:marBottom w:val="0"/>
      <w:divBdr>
        <w:top w:val="none" w:sz="0" w:space="0" w:color="auto"/>
        <w:left w:val="none" w:sz="0" w:space="0" w:color="auto"/>
        <w:bottom w:val="none" w:sz="0" w:space="0" w:color="auto"/>
        <w:right w:val="none" w:sz="0" w:space="0" w:color="auto"/>
      </w:divBdr>
    </w:div>
    <w:div w:id="1210000409">
      <w:bodyDiv w:val="1"/>
      <w:marLeft w:val="0"/>
      <w:marRight w:val="0"/>
      <w:marTop w:val="0"/>
      <w:marBottom w:val="0"/>
      <w:divBdr>
        <w:top w:val="none" w:sz="0" w:space="0" w:color="auto"/>
        <w:left w:val="none" w:sz="0" w:space="0" w:color="auto"/>
        <w:bottom w:val="none" w:sz="0" w:space="0" w:color="auto"/>
        <w:right w:val="none" w:sz="0" w:space="0" w:color="auto"/>
      </w:divBdr>
    </w:div>
    <w:div w:id="1252853520">
      <w:bodyDiv w:val="1"/>
      <w:marLeft w:val="0"/>
      <w:marRight w:val="0"/>
      <w:marTop w:val="0"/>
      <w:marBottom w:val="0"/>
      <w:divBdr>
        <w:top w:val="none" w:sz="0" w:space="0" w:color="auto"/>
        <w:left w:val="none" w:sz="0" w:space="0" w:color="auto"/>
        <w:bottom w:val="none" w:sz="0" w:space="0" w:color="auto"/>
        <w:right w:val="none" w:sz="0" w:space="0" w:color="auto"/>
      </w:divBdr>
    </w:div>
    <w:div w:id="1257439776">
      <w:bodyDiv w:val="1"/>
      <w:marLeft w:val="0"/>
      <w:marRight w:val="0"/>
      <w:marTop w:val="0"/>
      <w:marBottom w:val="0"/>
      <w:divBdr>
        <w:top w:val="none" w:sz="0" w:space="0" w:color="auto"/>
        <w:left w:val="none" w:sz="0" w:space="0" w:color="auto"/>
        <w:bottom w:val="none" w:sz="0" w:space="0" w:color="auto"/>
        <w:right w:val="none" w:sz="0" w:space="0" w:color="auto"/>
      </w:divBdr>
    </w:div>
    <w:div w:id="1268999349">
      <w:bodyDiv w:val="1"/>
      <w:marLeft w:val="0"/>
      <w:marRight w:val="0"/>
      <w:marTop w:val="0"/>
      <w:marBottom w:val="0"/>
      <w:divBdr>
        <w:top w:val="none" w:sz="0" w:space="0" w:color="auto"/>
        <w:left w:val="none" w:sz="0" w:space="0" w:color="auto"/>
        <w:bottom w:val="none" w:sz="0" w:space="0" w:color="auto"/>
        <w:right w:val="none" w:sz="0" w:space="0" w:color="auto"/>
      </w:divBdr>
      <w:divsChild>
        <w:div w:id="1885020555">
          <w:marLeft w:val="0"/>
          <w:marRight w:val="0"/>
          <w:marTop w:val="0"/>
          <w:marBottom w:val="0"/>
          <w:divBdr>
            <w:top w:val="none" w:sz="0" w:space="0" w:color="auto"/>
            <w:left w:val="none" w:sz="0" w:space="0" w:color="auto"/>
            <w:bottom w:val="none" w:sz="0" w:space="0" w:color="auto"/>
            <w:right w:val="none" w:sz="0" w:space="0" w:color="auto"/>
          </w:divBdr>
        </w:div>
        <w:div w:id="1679766389">
          <w:marLeft w:val="0"/>
          <w:marRight w:val="0"/>
          <w:marTop w:val="0"/>
          <w:marBottom w:val="0"/>
          <w:divBdr>
            <w:top w:val="none" w:sz="0" w:space="0" w:color="auto"/>
            <w:left w:val="none" w:sz="0" w:space="0" w:color="auto"/>
            <w:bottom w:val="none" w:sz="0" w:space="0" w:color="auto"/>
            <w:right w:val="none" w:sz="0" w:space="0" w:color="auto"/>
          </w:divBdr>
        </w:div>
        <w:div w:id="510265083">
          <w:marLeft w:val="0"/>
          <w:marRight w:val="0"/>
          <w:marTop w:val="0"/>
          <w:marBottom w:val="0"/>
          <w:divBdr>
            <w:top w:val="none" w:sz="0" w:space="0" w:color="auto"/>
            <w:left w:val="none" w:sz="0" w:space="0" w:color="auto"/>
            <w:bottom w:val="none" w:sz="0" w:space="0" w:color="auto"/>
            <w:right w:val="none" w:sz="0" w:space="0" w:color="auto"/>
          </w:divBdr>
        </w:div>
        <w:div w:id="1498106331">
          <w:marLeft w:val="0"/>
          <w:marRight w:val="0"/>
          <w:marTop w:val="0"/>
          <w:marBottom w:val="0"/>
          <w:divBdr>
            <w:top w:val="none" w:sz="0" w:space="0" w:color="auto"/>
            <w:left w:val="none" w:sz="0" w:space="0" w:color="auto"/>
            <w:bottom w:val="none" w:sz="0" w:space="0" w:color="auto"/>
            <w:right w:val="none" w:sz="0" w:space="0" w:color="auto"/>
          </w:divBdr>
        </w:div>
        <w:div w:id="112793300">
          <w:marLeft w:val="0"/>
          <w:marRight w:val="0"/>
          <w:marTop w:val="0"/>
          <w:marBottom w:val="0"/>
          <w:divBdr>
            <w:top w:val="none" w:sz="0" w:space="0" w:color="auto"/>
            <w:left w:val="none" w:sz="0" w:space="0" w:color="auto"/>
            <w:bottom w:val="none" w:sz="0" w:space="0" w:color="auto"/>
            <w:right w:val="none" w:sz="0" w:space="0" w:color="auto"/>
          </w:divBdr>
        </w:div>
        <w:div w:id="1213076729">
          <w:marLeft w:val="0"/>
          <w:marRight w:val="0"/>
          <w:marTop w:val="0"/>
          <w:marBottom w:val="0"/>
          <w:divBdr>
            <w:top w:val="none" w:sz="0" w:space="0" w:color="auto"/>
            <w:left w:val="none" w:sz="0" w:space="0" w:color="auto"/>
            <w:bottom w:val="none" w:sz="0" w:space="0" w:color="auto"/>
            <w:right w:val="none" w:sz="0" w:space="0" w:color="auto"/>
          </w:divBdr>
        </w:div>
        <w:div w:id="875384195">
          <w:marLeft w:val="0"/>
          <w:marRight w:val="0"/>
          <w:marTop w:val="0"/>
          <w:marBottom w:val="0"/>
          <w:divBdr>
            <w:top w:val="none" w:sz="0" w:space="0" w:color="auto"/>
            <w:left w:val="none" w:sz="0" w:space="0" w:color="auto"/>
            <w:bottom w:val="none" w:sz="0" w:space="0" w:color="auto"/>
            <w:right w:val="none" w:sz="0" w:space="0" w:color="auto"/>
          </w:divBdr>
        </w:div>
      </w:divsChild>
    </w:div>
    <w:div w:id="1276592238">
      <w:bodyDiv w:val="1"/>
      <w:marLeft w:val="0"/>
      <w:marRight w:val="0"/>
      <w:marTop w:val="0"/>
      <w:marBottom w:val="0"/>
      <w:divBdr>
        <w:top w:val="none" w:sz="0" w:space="0" w:color="auto"/>
        <w:left w:val="none" w:sz="0" w:space="0" w:color="auto"/>
        <w:bottom w:val="none" w:sz="0" w:space="0" w:color="auto"/>
        <w:right w:val="none" w:sz="0" w:space="0" w:color="auto"/>
      </w:divBdr>
    </w:div>
    <w:div w:id="1282146425">
      <w:bodyDiv w:val="1"/>
      <w:marLeft w:val="0"/>
      <w:marRight w:val="0"/>
      <w:marTop w:val="0"/>
      <w:marBottom w:val="0"/>
      <w:divBdr>
        <w:top w:val="none" w:sz="0" w:space="0" w:color="auto"/>
        <w:left w:val="none" w:sz="0" w:space="0" w:color="auto"/>
        <w:bottom w:val="none" w:sz="0" w:space="0" w:color="auto"/>
        <w:right w:val="none" w:sz="0" w:space="0" w:color="auto"/>
      </w:divBdr>
    </w:div>
    <w:div w:id="1287353812">
      <w:bodyDiv w:val="1"/>
      <w:marLeft w:val="0"/>
      <w:marRight w:val="0"/>
      <w:marTop w:val="0"/>
      <w:marBottom w:val="0"/>
      <w:divBdr>
        <w:top w:val="none" w:sz="0" w:space="0" w:color="auto"/>
        <w:left w:val="none" w:sz="0" w:space="0" w:color="auto"/>
        <w:bottom w:val="none" w:sz="0" w:space="0" w:color="auto"/>
        <w:right w:val="none" w:sz="0" w:space="0" w:color="auto"/>
      </w:divBdr>
    </w:div>
    <w:div w:id="1313294860">
      <w:bodyDiv w:val="1"/>
      <w:marLeft w:val="0"/>
      <w:marRight w:val="0"/>
      <w:marTop w:val="0"/>
      <w:marBottom w:val="0"/>
      <w:divBdr>
        <w:top w:val="none" w:sz="0" w:space="0" w:color="auto"/>
        <w:left w:val="none" w:sz="0" w:space="0" w:color="auto"/>
        <w:bottom w:val="none" w:sz="0" w:space="0" w:color="auto"/>
        <w:right w:val="none" w:sz="0" w:space="0" w:color="auto"/>
      </w:divBdr>
    </w:div>
    <w:div w:id="1333877606">
      <w:bodyDiv w:val="1"/>
      <w:marLeft w:val="0"/>
      <w:marRight w:val="0"/>
      <w:marTop w:val="0"/>
      <w:marBottom w:val="0"/>
      <w:divBdr>
        <w:top w:val="none" w:sz="0" w:space="0" w:color="auto"/>
        <w:left w:val="none" w:sz="0" w:space="0" w:color="auto"/>
        <w:bottom w:val="none" w:sz="0" w:space="0" w:color="auto"/>
        <w:right w:val="none" w:sz="0" w:space="0" w:color="auto"/>
      </w:divBdr>
    </w:div>
    <w:div w:id="1344282492">
      <w:bodyDiv w:val="1"/>
      <w:marLeft w:val="0"/>
      <w:marRight w:val="0"/>
      <w:marTop w:val="0"/>
      <w:marBottom w:val="0"/>
      <w:divBdr>
        <w:top w:val="none" w:sz="0" w:space="0" w:color="auto"/>
        <w:left w:val="none" w:sz="0" w:space="0" w:color="auto"/>
        <w:bottom w:val="none" w:sz="0" w:space="0" w:color="auto"/>
        <w:right w:val="none" w:sz="0" w:space="0" w:color="auto"/>
      </w:divBdr>
    </w:div>
    <w:div w:id="1381322622">
      <w:bodyDiv w:val="1"/>
      <w:marLeft w:val="0"/>
      <w:marRight w:val="0"/>
      <w:marTop w:val="0"/>
      <w:marBottom w:val="0"/>
      <w:divBdr>
        <w:top w:val="none" w:sz="0" w:space="0" w:color="auto"/>
        <w:left w:val="none" w:sz="0" w:space="0" w:color="auto"/>
        <w:bottom w:val="none" w:sz="0" w:space="0" w:color="auto"/>
        <w:right w:val="none" w:sz="0" w:space="0" w:color="auto"/>
      </w:divBdr>
    </w:div>
    <w:div w:id="1384402059">
      <w:bodyDiv w:val="1"/>
      <w:marLeft w:val="0"/>
      <w:marRight w:val="0"/>
      <w:marTop w:val="0"/>
      <w:marBottom w:val="0"/>
      <w:divBdr>
        <w:top w:val="none" w:sz="0" w:space="0" w:color="auto"/>
        <w:left w:val="none" w:sz="0" w:space="0" w:color="auto"/>
        <w:bottom w:val="none" w:sz="0" w:space="0" w:color="auto"/>
        <w:right w:val="none" w:sz="0" w:space="0" w:color="auto"/>
      </w:divBdr>
    </w:div>
    <w:div w:id="1431781770">
      <w:bodyDiv w:val="1"/>
      <w:marLeft w:val="0"/>
      <w:marRight w:val="0"/>
      <w:marTop w:val="0"/>
      <w:marBottom w:val="0"/>
      <w:divBdr>
        <w:top w:val="none" w:sz="0" w:space="0" w:color="auto"/>
        <w:left w:val="none" w:sz="0" w:space="0" w:color="auto"/>
        <w:bottom w:val="none" w:sz="0" w:space="0" w:color="auto"/>
        <w:right w:val="none" w:sz="0" w:space="0" w:color="auto"/>
      </w:divBdr>
    </w:div>
    <w:div w:id="1457527899">
      <w:bodyDiv w:val="1"/>
      <w:marLeft w:val="0"/>
      <w:marRight w:val="0"/>
      <w:marTop w:val="0"/>
      <w:marBottom w:val="0"/>
      <w:divBdr>
        <w:top w:val="none" w:sz="0" w:space="0" w:color="auto"/>
        <w:left w:val="none" w:sz="0" w:space="0" w:color="auto"/>
        <w:bottom w:val="none" w:sz="0" w:space="0" w:color="auto"/>
        <w:right w:val="none" w:sz="0" w:space="0" w:color="auto"/>
      </w:divBdr>
    </w:div>
    <w:div w:id="1477071150">
      <w:bodyDiv w:val="1"/>
      <w:marLeft w:val="0"/>
      <w:marRight w:val="0"/>
      <w:marTop w:val="0"/>
      <w:marBottom w:val="0"/>
      <w:divBdr>
        <w:top w:val="none" w:sz="0" w:space="0" w:color="auto"/>
        <w:left w:val="none" w:sz="0" w:space="0" w:color="auto"/>
        <w:bottom w:val="none" w:sz="0" w:space="0" w:color="auto"/>
        <w:right w:val="none" w:sz="0" w:space="0" w:color="auto"/>
      </w:divBdr>
    </w:div>
    <w:div w:id="1513644456">
      <w:bodyDiv w:val="1"/>
      <w:marLeft w:val="0"/>
      <w:marRight w:val="0"/>
      <w:marTop w:val="0"/>
      <w:marBottom w:val="0"/>
      <w:divBdr>
        <w:top w:val="none" w:sz="0" w:space="0" w:color="auto"/>
        <w:left w:val="none" w:sz="0" w:space="0" w:color="auto"/>
        <w:bottom w:val="none" w:sz="0" w:space="0" w:color="auto"/>
        <w:right w:val="none" w:sz="0" w:space="0" w:color="auto"/>
      </w:divBdr>
    </w:div>
    <w:div w:id="1518419568">
      <w:bodyDiv w:val="1"/>
      <w:marLeft w:val="0"/>
      <w:marRight w:val="0"/>
      <w:marTop w:val="0"/>
      <w:marBottom w:val="0"/>
      <w:divBdr>
        <w:top w:val="none" w:sz="0" w:space="0" w:color="auto"/>
        <w:left w:val="none" w:sz="0" w:space="0" w:color="auto"/>
        <w:bottom w:val="none" w:sz="0" w:space="0" w:color="auto"/>
        <w:right w:val="none" w:sz="0" w:space="0" w:color="auto"/>
      </w:divBdr>
    </w:div>
    <w:div w:id="1526359064">
      <w:bodyDiv w:val="1"/>
      <w:marLeft w:val="0"/>
      <w:marRight w:val="0"/>
      <w:marTop w:val="0"/>
      <w:marBottom w:val="0"/>
      <w:divBdr>
        <w:top w:val="none" w:sz="0" w:space="0" w:color="auto"/>
        <w:left w:val="none" w:sz="0" w:space="0" w:color="auto"/>
        <w:bottom w:val="none" w:sz="0" w:space="0" w:color="auto"/>
        <w:right w:val="none" w:sz="0" w:space="0" w:color="auto"/>
      </w:divBdr>
    </w:div>
    <w:div w:id="1534805011">
      <w:bodyDiv w:val="1"/>
      <w:marLeft w:val="0"/>
      <w:marRight w:val="0"/>
      <w:marTop w:val="0"/>
      <w:marBottom w:val="0"/>
      <w:divBdr>
        <w:top w:val="none" w:sz="0" w:space="0" w:color="auto"/>
        <w:left w:val="none" w:sz="0" w:space="0" w:color="auto"/>
        <w:bottom w:val="none" w:sz="0" w:space="0" w:color="auto"/>
        <w:right w:val="none" w:sz="0" w:space="0" w:color="auto"/>
      </w:divBdr>
    </w:div>
    <w:div w:id="1555039149">
      <w:bodyDiv w:val="1"/>
      <w:marLeft w:val="0"/>
      <w:marRight w:val="0"/>
      <w:marTop w:val="0"/>
      <w:marBottom w:val="0"/>
      <w:divBdr>
        <w:top w:val="none" w:sz="0" w:space="0" w:color="auto"/>
        <w:left w:val="none" w:sz="0" w:space="0" w:color="auto"/>
        <w:bottom w:val="none" w:sz="0" w:space="0" w:color="auto"/>
        <w:right w:val="none" w:sz="0" w:space="0" w:color="auto"/>
      </w:divBdr>
    </w:div>
    <w:div w:id="1555389211">
      <w:bodyDiv w:val="1"/>
      <w:marLeft w:val="0"/>
      <w:marRight w:val="0"/>
      <w:marTop w:val="0"/>
      <w:marBottom w:val="0"/>
      <w:divBdr>
        <w:top w:val="none" w:sz="0" w:space="0" w:color="auto"/>
        <w:left w:val="none" w:sz="0" w:space="0" w:color="auto"/>
        <w:bottom w:val="none" w:sz="0" w:space="0" w:color="auto"/>
        <w:right w:val="none" w:sz="0" w:space="0" w:color="auto"/>
      </w:divBdr>
    </w:div>
    <w:div w:id="1568803797">
      <w:bodyDiv w:val="1"/>
      <w:marLeft w:val="0"/>
      <w:marRight w:val="0"/>
      <w:marTop w:val="0"/>
      <w:marBottom w:val="0"/>
      <w:divBdr>
        <w:top w:val="none" w:sz="0" w:space="0" w:color="auto"/>
        <w:left w:val="none" w:sz="0" w:space="0" w:color="auto"/>
        <w:bottom w:val="none" w:sz="0" w:space="0" w:color="auto"/>
        <w:right w:val="none" w:sz="0" w:space="0" w:color="auto"/>
      </w:divBdr>
    </w:div>
    <w:div w:id="1578638049">
      <w:bodyDiv w:val="1"/>
      <w:marLeft w:val="0"/>
      <w:marRight w:val="0"/>
      <w:marTop w:val="0"/>
      <w:marBottom w:val="0"/>
      <w:divBdr>
        <w:top w:val="none" w:sz="0" w:space="0" w:color="auto"/>
        <w:left w:val="none" w:sz="0" w:space="0" w:color="auto"/>
        <w:bottom w:val="none" w:sz="0" w:space="0" w:color="auto"/>
        <w:right w:val="none" w:sz="0" w:space="0" w:color="auto"/>
      </w:divBdr>
    </w:div>
    <w:div w:id="1592012051">
      <w:bodyDiv w:val="1"/>
      <w:marLeft w:val="0"/>
      <w:marRight w:val="0"/>
      <w:marTop w:val="0"/>
      <w:marBottom w:val="0"/>
      <w:divBdr>
        <w:top w:val="none" w:sz="0" w:space="0" w:color="auto"/>
        <w:left w:val="none" w:sz="0" w:space="0" w:color="auto"/>
        <w:bottom w:val="none" w:sz="0" w:space="0" w:color="auto"/>
        <w:right w:val="none" w:sz="0" w:space="0" w:color="auto"/>
      </w:divBdr>
      <w:divsChild>
        <w:div w:id="370807975">
          <w:marLeft w:val="0"/>
          <w:marRight w:val="0"/>
          <w:marTop w:val="0"/>
          <w:marBottom w:val="0"/>
          <w:divBdr>
            <w:top w:val="none" w:sz="0" w:space="0" w:color="auto"/>
            <w:left w:val="none" w:sz="0" w:space="0" w:color="auto"/>
            <w:bottom w:val="none" w:sz="0" w:space="0" w:color="auto"/>
            <w:right w:val="none" w:sz="0" w:space="0" w:color="auto"/>
          </w:divBdr>
          <w:divsChild>
            <w:div w:id="1117140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653021">
      <w:bodyDiv w:val="1"/>
      <w:marLeft w:val="0"/>
      <w:marRight w:val="0"/>
      <w:marTop w:val="0"/>
      <w:marBottom w:val="0"/>
      <w:divBdr>
        <w:top w:val="none" w:sz="0" w:space="0" w:color="auto"/>
        <w:left w:val="none" w:sz="0" w:space="0" w:color="auto"/>
        <w:bottom w:val="none" w:sz="0" w:space="0" w:color="auto"/>
        <w:right w:val="none" w:sz="0" w:space="0" w:color="auto"/>
      </w:divBdr>
    </w:div>
    <w:div w:id="1660572396">
      <w:bodyDiv w:val="1"/>
      <w:marLeft w:val="0"/>
      <w:marRight w:val="0"/>
      <w:marTop w:val="0"/>
      <w:marBottom w:val="0"/>
      <w:divBdr>
        <w:top w:val="none" w:sz="0" w:space="0" w:color="auto"/>
        <w:left w:val="none" w:sz="0" w:space="0" w:color="auto"/>
        <w:bottom w:val="none" w:sz="0" w:space="0" w:color="auto"/>
        <w:right w:val="none" w:sz="0" w:space="0" w:color="auto"/>
      </w:divBdr>
    </w:div>
    <w:div w:id="1683162246">
      <w:bodyDiv w:val="1"/>
      <w:marLeft w:val="0"/>
      <w:marRight w:val="0"/>
      <w:marTop w:val="0"/>
      <w:marBottom w:val="0"/>
      <w:divBdr>
        <w:top w:val="none" w:sz="0" w:space="0" w:color="auto"/>
        <w:left w:val="none" w:sz="0" w:space="0" w:color="auto"/>
        <w:bottom w:val="none" w:sz="0" w:space="0" w:color="auto"/>
        <w:right w:val="none" w:sz="0" w:space="0" w:color="auto"/>
      </w:divBdr>
    </w:div>
    <w:div w:id="1690334150">
      <w:bodyDiv w:val="1"/>
      <w:marLeft w:val="0"/>
      <w:marRight w:val="0"/>
      <w:marTop w:val="0"/>
      <w:marBottom w:val="0"/>
      <w:divBdr>
        <w:top w:val="none" w:sz="0" w:space="0" w:color="auto"/>
        <w:left w:val="none" w:sz="0" w:space="0" w:color="auto"/>
        <w:bottom w:val="none" w:sz="0" w:space="0" w:color="auto"/>
        <w:right w:val="none" w:sz="0" w:space="0" w:color="auto"/>
      </w:divBdr>
    </w:div>
    <w:div w:id="1762411369">
      <w:bodyDiv w:val="1"/>
      <w:marLeft w:val="0"/>
      <w:marRight w:val="0"/>
      <w:marTop w:val="0"/>
      <w:marBottom w:val="0"/>
      <w:divBdr>
        <w:top w:val="none" w:sz="0" w:space="0" w:color="auto"/>
        <w:left w:val="none" w:sz="0" w:space="0" w:color="auto"/>
        <w:bottom w:val="none" w:sz="0" w:space="0" w:color="auto"/>
        <w:right w:val="none" w:sz="0" w:space="0" w:color="auto"/>
      </w:divBdr>
    </w:div>
    <w:div w:id="1777674673">
      <w:bodyDiv w:val="1"/>
      <w:marLeft w:val="0"/>
      <w:marRight w:val="0"/>
      <w:marTop w:val="0"/>
      <w:marBottom w:val="0"/>
      <w:divBdr>
        <w:top w:val="none" w:sz="0" w:space="0" w:color="auto"/>
        <w:left w:val="none" w:sz="0" w:space="0" w:color="auto"/>
        <w:bottom w:val="none" w:sz="0" w:space="0" w:color="auto"/>
        <w:right w:val="none" w:sz="0" w:space="0" w:color="auto"/>
      </w:divBdr>
    </w:div>
    <w:div w:id="1802260161">
      <w:bodyDiv w:val="1"/>
      <w:marLeft w:val="0"/>
      <w:marRight w:val="0"/>
      <w:marTop w:val="0"/>
      <w:marBottom w:val="0"/>
      <w:divBdr>
        <w:top w:val="none" w:sz="0" w:space="0" w:color="auto"/>
        <w:left w:val="none" w:sz="0" w:space="0" w:color="auto"/>
        <w:bottom w:val="none" w:sz="0" w:space="0" w:color="auto"/>
        <w:right w:val="none" w:sz="0" w:space="0" w:color="auto"/>
      </w:divBdr>
    </w:div>
    <w:div w:id="1821532903">
      <w:bodyDiv w:val="1"/>
      <w:marLeft w:val="0"/>
      <w:marRight w:val="0"/>
      <w:marTop w:val="0"/>
      <w:marBottom w:val="0"/>
      <w:divBdr>
        <w:top w:val="none" w:sz="0" w:space="0" w:color="auto"/>
        <w:left w:val="none" w:sz="0" w:space="0" w:color="auto"/>
        <w:bottom w:val="none" w:sz="0" w:space="0" w:color="auto"/>
        <w:right w:val="none" w:sz="0" w:space="0" w:color="auto"/>
      </w:divBdr>
    </w:div>
    <w:div w:id="1845700637">
      <w:bodyDiv w:val="1"/>
      <w:marLeft w:val="0"/>
      <w:marRight w:val="0"/>
      <w:marTop w:val="0"/>
      <w:marBottom w:val="0"/>
      <w:divBdr>
        <w:top w:val="none" w:sz="0" w:space="0" w:color="auto"/>
        <w:left w:val="none" w:sz="0" w:space="0" w:color="auto"/>
        <w:bottom w:val="none" w:sz="0" w:space="0" w:color="auto"/>
        <w:right w:val="none" w:sz="0" w:space="0" w:color="auto"/>
      </w:divBdr>
    </w:div>
    <w:div w:id="1853883806">
      <w:bodyDiv w:val="1"/>
      <w:marLeft w:val="0"/>
      <w:marRight w:val="0"/>
      <w:marTop w:val="0"/>
      <w:marBottom w:val="0"/>
      <w:divBdr>
        <w:top w:val="none" w:sz="0" w:space="0" w:color="auto"/>
        <w:left w:val="none" w:sz="0" w:space="0" w:color="auto"/>
        <w:bottom w:val="none" w:sz="0" w:space="0" w:color="auto"/>
        <w:right w:val="none" w:sz="0" w:space="0" w:color="auto"/>
      </w:divBdr>
    </w:div>
    <w:div w:id="1864898424">
      <w:bodyDiv w:val="1"/>
      <w:marLeft w:val="0"/>
      <w:marRight w:val="0"/>
      <w:marTop w:val="0"/>
      <w:marBottom w:val="0"/>
      <w:divBdr>
        <w:top w:val="none" w:sz="0" w:space="0" w:color="auto"/>
        <w:left w:val="none" w:sz="0" w:space="0" w:color="auto"/>
        <w:bottom w:val="none" w:sz="0" w:space="0" w:color="auto"/>
        <w:right w:val="none" w:sz="0" w:space="0" w:color="auto"/>
      </w:divBdr>
    </w:div>
    <w:div w:id="1901668828">
      <w:bodyDiv w:val="1"/>
      <w:marLeft w:val="0"/>
      <w:marRight w:val="0"/>
      <w:marTop w:val="0"/>
      <w:marBottom w:val="0"/>
      <w:divBdr>
        <w:top w:val="none" w:sz="0" w:space="0" w:color="auto"/>
        <w:left w:val="none" w:sz="0" w:space="0" w:color="auto"/>
        <w:bottom w:val="none" w:sz="0" w:space="0" w:color="auto"/>
        <w:right w:val="none" w:sz="0" w:space="0" w:color="auto"/>
      </w:divBdr>
      <w:divsChild>
        <w:div w:id="44837599">
          <w:marLeft w:val="0"/>
          <w:marRight w:val="0"/>
          <w:marTop w:val="0"/>
          <w:marBottom w:val="0"/>
          <w:divBdr>
            <w:top w:val="none" w:sz="0" w:space="0" w:color="auto"/>
            <w:left w:val="none" w:sz="0" w:space="0" w:color="auto"/>
            <w:bottom w:val="none" w:sz="0" w:space="0" w:color="auto"/>
            <w:right w:val="none" w:sz="0" w:space="0" w:color="auto"/>
          </w:divBdr>
        </w:div>
        <w:div w:id="119150133">
          <w:marLeft w:val="0"/>
          <w:marRight w:val="0"/>
          <w:marTop w:val="0"/>
          <w:marBottom w:val="0"/>
          <w:divBdr>
            <w:top w:val="none" w:sz="0" w:space="0" w:color="auto"/>
            <w:left w:val="none" w:sz="0" w:space="0" w:color="auto"/>
            <w:bottom w:val="none" w:sz="0" w:space="0" w:color="auto"/>
            <w:right w:val="none" w:sz="0" w:space="0" w:color="auto"/>
          </w:divBdr>
        </w:div>
        <w:div w:id="152188578">
          <w:marLeft w:val="0"/>
          <w:marRight w:val="0"/>
          <w:marTop w:val="0"/>
          <w:marBottom w:val="0"/>
          <w:divBdr>
            <w:top w:val="none" w:sz="0" w:space="0" w:color="auto"/>
            <w:left w:val="none" w:sz="0" w:space="0" w:color="auto"/>
            <w:bottom w:val="none" w:sz="0" w:space="0" w:color="auto"/>
            <w:right w:val="none" w:sz="0" w:space="0" w:color="auto"/>
          </w:divBdr>
        </w:div>
        <w:div w:id="191964713">
          <w:marLeft w:val="0"/>
          <w:marRight w:val="0"/>
          <w:marTop w:val="0"/>
          <w:marBottom w:val="0"/>
          <w:divBdr>
            <w:top w:val="none" w:sz="0" w:space="0" w:color="auto"/>
            <w:left w:val="none" w:sz="0" w:space="0" w:color="auto"/>
            <w:bottom w:val="none" w:sz="0" w:space="0" w:color="auto"/>
            <w:right w:val="none" w:sz="0" w:space="0" w:color="auto"/>
          </w:divBdr>
        </w:div>
        <w:div w:id="260260446">
          <w:marLeft w:val="0"/>
          <w:marRight w:val="0"/>
          <w:marTop w:val="0"/>
          <w:marBottom w:val="0"/>
          <w:divBdr>
            <w:top w:val="none" w:sz="0" w:space="0" w:color="auto"/>
            <w:left w:val="none" w:sz="0" w:space="0" w:color="auto"/>
            <w:bottom w:val="none" w:sz="0" w:space="0" w:color="auto"/>
            <w:right w:val="none" w:sz="0" w:space="0" w:color="auto"/>
          </w:divBdr>
        </w:div>
        <w:div w:id="358699234">
          <w:marLeft w:val="0"/>
          <w:marRight w:val="0"/>
          <w:marTop w:val="0"/>
          <w:marBottom w:val="0"/>
          <w:divBdr>
            <w:top w:val="none" w:sz="0" w:space="0" w:color="auto"/>
            <w:left w:val="none" w:sz="0" w:space="0" w:color="auto"/>
            <w:bottom w:val="none" w:sz="0" w:space="0" w:color="auto"/>
            <w:right w:val="none" w:sz="0" w:space="0" w:color="auto"/>
          </w:divBdr>
        </w:div>
        <w:div w:id="490407287">
          <w:marLeft w:val="0"/>
          <w:marRight w:val="0"/>
          <w:marTop w:val="0"/>
          <w:marBottom w:val="0"/>
          <w:divBdr>
            <w:top w:val="none" w:sz="0" w:space="0" w:color="auto"/>
            <w:left w:val="none" w:sz="0" w:space="0" w:color="auto"/>
            <w:bottom w:val="none" w:sz="0" w:space="0" w:color="auto"/>
            <w:right w:val="none" w:sz="0" w:space="0" w:color="auto"/>
          </w:divBdr>
        </w:div>
        <w:div w:id="504173972">
          <w:marLeft w:val="0"/>
          <w:marRight w:val="0"/>
          <w:marTop w:val="0"/>
          <w:marBottom w:val="0"/>
          <w:divBdr>
            <w:top w:val="none" w:sz="0" w:space="0" w:color="auto"/>
            <w:left w:val="none" w:sz="0" w:space="0" w:color="auto"/>
            <w:bottom w:val="none" w:sz="0" w:space="0" w:color="auto"/>
            <w:right w:val="none" w:sz="0" w:space="0" w:color="auto"/>
          </w:divBdr>
          <w:divsChild>
            <w:div w:id="1446923133">
              <w:marLeft w:val="-75"/>
              <w:marRight w:val="0"/>
              <w:marTop w:val="30"/>
              <w:marBottom w:val="30"/>
              <w:divBdr>
                <w:top w:val="none" w:sz="0" w:space="0" w:color="auto"/>
                <w:left w:val="none" w:sz="0" w:space="0" w:color="auto"/>
                <w:bottom w:val="none" w:sz="0" w:space="0" w:color="auto"/>
                <w:right w:val="none" w:sz="0" w:space="0" w:color="auto"/>
              </w:divBdr>
              <w:divsChild>
                <w:div w:id="45493580">
                  <w:marLeft w:val="0"/>
                  <w:marRight w:val="0"/>
                  <w:marTop w:val="0"/>
                  <w:marBottom w:val="0"/>
                  <w:divBdr>
                    <w:top w:val="none" w:sz="0" w:space="0" w:color="auto"/>
                    <w:left w:val="none" w:sz="0" w:space="0" w:color="auto"/>
                    <w:bottom w:val="none" w:sz="0" w:space="0" w:color="auto"/>
                    <w:right w:val="none" w:sz="0" w:space="0" w:color="auto"/>
                  </w:divBdr>
                  <w:divsChild>
                    <w:div w:id="30570925">
                      <w:marLeft w:val="0"/>
                      <w:marRight w:val="0"/>
                      <w:marTop w:val="0"/>
                      <w:marBottom w:val="0"/>
                      <w:divBdr>
                        <w:top w:val="none" w:sz="0" w:space="0" w:color="auto"/>
                        <w:left w:val="none" w:sz="0" w:space="0" w:color="auto"/>
                        <w:bottom w:val="none" w:sz="0" w:space="0" w:color="auto"/>
                        <w:right w:val="none" w:sz="0" w:space="0" w:color="auto"/>
                      </w:divBdr>
                    </w:div>
                    <w:div w:id="586773862">
                      <w:marLeft w:val="0"/>
                      <w:marRight w:val="0"/>
                      <w:marTop w:val="0"/>
                      <w:marBottom w:val="0"/>
                      <w:divBdr>
                        <w:top w:val="none" w:sz="0" w:space="0" w:color="auto"/>
                        <w:left w:val="none" w:sz="0" w:space="0" w:color="auto"/>
                        <w:bottom w:val="none" w:sz="0" w:space="0" w:color="auto"/>
                        <w:right w:val="none" w:sz="0" w:space="0" w:color="auto"/>
                      </w:divBdr>
                    </w:div>
                  </w:divsChild>
                </w:div>
                <w:div w:id="171841141">
                  <w:marLeft w:val="0"/>
                  <w:marRight w:val="0"/>
                  <w:marTop w:val="0"/>
                  <w:marBottom w:val="0"/>
                  <w:divBdr>
                    <w:top w:val="none" w:sz="0" w:space="0" w:color="auto"/>
                    <w:left w:val="none" w:sz="0" w:space="0" w:color="auto"/>
                    <w:bottom w:val="none" w:sz="0" w:space="0" w:color="auto"/>
                    <w:right w:val="none" w:sz="0" w:space="0" w:color="auto"/>
                  </w:divBdr>
                  <w:divsChild>
                    <w:div w:id="106631690">
                      <w:marLeft w:val="0"/>
                      <w:marRight w:val="0"/>
                      <w:marTop w:val="0"/>
                      <w:marBottom w:val="0"/>
                      <w:divBdr>
                        <w:top w:val="none" w:sz="0" w:space="0" w:color="auto"/>
                        <w:left w:val="none" w:sz="0" w:space="0" w:color="auto"/>
                        <w:bottom w:val="none" w:sz="0" w:space="0" w:color="auto"/>
                        <w:right w:val="none" w:sz="0" w:space="0" w:color="auto"/>
                      </w:divBdr>
                    </w:div>
                    <w:div w:id="651325128">
                      <w:marLeft w:val="0"/>
                      <w:marRight w:val="0"/>
                      <w:marTop w:val="0"/>
                      <w:marBottom w:val="0"/>
                      <w:divBdr>
                        <w:top w:val="none" w:sz="0" w:space="0" w:color="auto"/>
                        <w:left w:val="none" w:sz="0" w:space="0" w:color="auto"/>
                        <w:bottom w:val="none" w:sz="0" w:space="0" w:color="auto"/>
                        <w:right w:val="none" w:sz="0" w:space="0" w:color="auto"/>
                      </w:divBdr>
                    </w:div>
                  </w:divsChild>
                </w:div>
                <w:div w:id="227231467">
                  <w:marLeft w:val="0"/>
                  <w:marRight w:val="0"/>
                  <w:marTop w:val="0"/>
                  <w:marBottom w:val="0"/>
                  <w:divBdr>
                    <w:top w:val="none" w:sz="0" w:space="0" w:color="auto"/>
                    <w:left w:val="none" w:sz="0" w:space="0" w:color="auto"/>
                    <w:bottom w:val="none" w:sz="0" w:space="0" w:color="auto"/>
                    <w:right w:val="none" w:sz="0" w:space="0" w:color="auto"/>
                  </w:divBdr>
                  <w:divsChild>
                    <w:div w:id="912932674">
                      <w:marLeft w:val="0"/>
                      <w:marRight w:val="0"/>
                      <w:marTop w:val="0"/>
                      <w:marBottom w:val="0"/>
                      <w:divBdr>
                        <w:top w:val="none" w:sz="0" w:space="0" w:color="auto"/>
                        <w:left w:val="none" w:sz="0" w:space="0" w:color="auto"/>
                        <w:bottom w:val="none" w:sz="0" w:space="0" w:color="auto"/>
                        <w:right w:val="none" w:sz="0" w:space="0" w:color="auto"/>
                      </w:divBdr>
                    </w:div>
                    <w:div w:id="1723484189">
                      <w:marLeft w:val="0"/>
                      <w:marRight w:val="0"/>
                      <w:marTop w:val="0"/>
                      <w:marBottom w:val="0"/>
                      <w:divBdr>
                        <w:top w:val="none" w:sz="0" w:space="0" w:color="auto"/>
                        <w:left w:val="none" w:sz="0" w:space="0" w:color="auto"/>
                        <w:bottom w:val="none" w:sz="0" w:space="0" w:color="auto"/>
                        <w:right w:val="none" w:sz="0" w:space="0" w:color="auto"/>
                      </w:divBdr>
                    </w:div>
                  </w:divsChild>
                </w:div>
                <w:div w:id="299963057">
                  <w:marLeft w:val="0"/>
                  <w:marRight w:val="0"/>
                  <w:marTop w:val="0"/>
                  <w:marBottom w:val="0"/>
                  <w:divBdr>
                    <w:top w:val="none" w:sz="0" w:space="0" w:color="auto"/>
                    <w:left w:val="none" w:sz="0" w:space="0" w:color="auto"/>
                    <w:bottom w:val="none" w:sz="0" w:space="0" w:color="auto"/>
                    <w:right w:val="none" w:sz="0" w:space="0" w:color="auto"/>
                  </w:divBdr>
                  <w:divsChild>
                    <w:div w:id="147526899">
                      <w:marLeft w:val="0"/>
                      <w:marRight w:val="0"/>
                      <w:marTop w:val="0"/>
                      <w:marBottom w:val="0"/>
                      <w:divBdr>
                        <w:top w:val="none" w:sz="0" w:space="0" w:color="auto"/>
                        <w:left w:val="none" w:sz="0" w:space="0" w:color="auto"/>
                        <w:bottom w:val="none" w:sz="0" w:space="0" w:color="auto"/>
                        <w:right w:val="none" w:sz="0" w:space="0" w:color="auto"/>
                      </w:divBdr>
                    </w:div>
                    <w:div w:id="1129592586">
                      <w:marLeft w:val="0"/>
                      <w:marRight w:val="0"/>
                      <w:marTop w:val="0"/>
                      <w:marBottom w:val="0"/>
                      <w:divBdr>
                        <w:top w:val="none" w:sz="0" w:space="0" w:color="auto"/>
                        <w:left w:val="none" w:sz="0" w:space="0" w:color="auto"/>
                        <w:bottom w:val="none" w:sz="0" w:space="0" w:color="auto"/>
                        <w:right w:val="none" w:sz="0" w:space="0" w:color="auto"/>
                      </w:divBdr>
                    </w:div>
                  </w:divsChild>
                </w:div>
                <w:div w:id="333578637">
                  <w:marLeft w:val="0"/>
                  <w:marRight w:val="0"/>
                  <w:marTop w:val="0"/>
                  <w:marBottom w:val="0"/>
                  <w:divBdr>
                    <w:top w:val="none" w:sz="0" w:space="0" w:color="auto"/>
                    <w:left w:val="none" w:sz="0" w:space="0" w:color="auto"/>
                    <w:bottom w:val="none" w:sz="0" w:space="0" w:color="auto"/>
                    <w:right w:val="none" w:sz="0" w:space="0" w:color="auto"/>
                  </w:divBdr>
                  <w:divsChild>
                    <w:div w:id="1906530733">
                      <w:marLeft w:val="0"/>
                      <w:marRight w:val="0"/>
                      <w:marTop w:val="0"/>
                      <w:marBottom w:val="0"/>
                      <w:divBdr>
                        <w:top w:val="none" w:sz="0" w:space="0" w:color="auto"/>
                        <w:left w:val="none" w:sz="0" w:space="0" w:color="auto"/>
                        <w:bottom w:val="none" w:sz="0" w:space="0" w:color="auto"/>
                        <w:right w:val="none" w:sz="0" w:space="0" w:color="auto"/>
                      </w:divBdr>
                    </w:div>
                    <w:div w:id="1982691927">
                      <w:marLeft w:val="0"/>
                      <w:marRight w:val="0"/>
                      <w:marTop w:val="0"/>
                      <w:marBottom w:val="0"/>
                      <w:divBdr>
                        <w:top w:val="none" w:sz="0" w:space="0" w:color="auto"/>
                        <w:left w:val="none" w:sz="0" w:space="0" w:color="auto"/>
                        <w:bottom w:val="none" w:sz="0" w:space="0" w:color="auto"/>
                        <w:right w:val="none" w:sz="0" w:space="0" w:color="auto"/>
                      </w:divBdr>
                    </w:div>
                    <w:div w:id="2109999879">
                      <w:marLeft w:val="0"/>
                      <w:marRight w:val="0"/>
                      <w:marTop w:val="0"/>
                      <w:marBottom w:val="0"/>
                      <w:divBdr>
                        <w:top w:val="none" w:sz="0" w:space="0" w:color="auto"/>
                        <w:left w:val="none" w:sz="0" w:space="0" w:color="auto"/>
                        <w:bottom w:val="none" w:sz="0" w:space="0" w:color="auto"/>
                        <w:right w:val="none" w:sz="0" w:space="0" w:color="auto"/>
                      </w:divBdr>
                    </w:div>
                  </w:divsChild>
                </w:div>
                <w:div w:id="334189416">
                  <w:marLeft w:val="0"/>
                  <w:marRight w:val="0"/>
                  <w:marTop w:val="0"/>
                  <w:marBottom w:val="0"/>
                  <w:divBdr>
                    <w:top w:val="none" w:sz="0" w:space="0" w:color="auto"/>
                    <w:left w:val="none" w:sz="0" w:space="0" w:color="auto"/>
                    <w:bottom w:val="none" w:sz="0" w:space="0" w:color="auto"/>
                    <w:right w:val="none" w:sz="0" w:space="0" w:color="auto"/>
                  </w:divBdr>
                  <w:divsChild>
                    <w:div w:id="1149521581">
                      <w:marLeft w:val="0"/>
                      <w:marRight w:val="0"/>
                      <w:marTop w:val="0"/>
                      <w:marBottom w:val="0"/>
                      <w:divBdr>
                        <w:top w:val="none" w:sz="0" w:space="0" w:color="auto"/>
                        <w:left w:val="none" w:sz="0" w:space="0" w:color="auto"/>
                        <w:bottom w:val="none" w:sz="0" w:space="0" w:color="auto"/>
                        <w:right w:val="none" w:sz="0" w:space="0" w:color="auto"/>
                      </w:divBdr>
                    </w:div>
                    <w:div w:id="1821770766">
                      <w:marLeft w:val="0"/>
                      <w:marRight w:val="0"/>
                      <w:marTop w:val="0"/>
                      <w:marBottom w:val="0"/>
                      <w:divBdr>
                        <w:top w:val="none" w:sz="0" w:space="0" w:color="auto"/>
                        <w:left w:val="none" w:sz="0" w:space="0" w:color="auto"/>
                        <w:bottom w:val="none" w:sz="0" w:space="0" w:color="auto"/>
                        <w:right w:val="none" w:sz="0" w:space="0" w:color="auto"/>
                      </w:divBdr>
                    </w:div>
                  </w:divsChild>
                </w:div>
                <w:div w:id="389615417">
                  <w:marLeft w:val="0"/>
                  <w:marRight w:val="0"/>
                  <w:marTop w:val="0"/>
                  <w:marBottom w:val="0"/>
                  <w:divBdr>
                    <w:top w:val="none" w:sz="0" w:space="0" w:color="auto"/>
                    <w:left w:val="none" w:sz="0" w:space="0" w:color="auto"/>
                    <w:bottom w:val="none" w:sz="0" w:space="0" w:color="auto"/>
                    <w:right w:val="none" w:sz="0" w:space="0" w:color="auto"/>
                  </w:divBdr>
                  <w:divsChild>
                    <w:div w:id="39717362">
                      <w:marLeft w:val="0"/>
                      <w:marRight w:val="0"/>
                      <w:marTop w:val="0"/>
                      <w:marBottom w:val="0"/>
                      <w:divBdr>
                        <w:top w:val="none" w:sz="0" w:space="0" w:color="auto"/>
                        <w:left w:val="none" w:sz="0" w:space="0" w:color="auto"/>
                        <w:bottom w:val="none" w:sz="0" w:space="0" w:color="auto"/>
                        <w:right w:val="none" w:sz="0" w:space="0" w:color="auto"/>
                      </w:divBdr>
                    </w:div>
                    <w:div w:id="894008952">
                      <w:marLeft w:val="0"/>
                      <w:marRight w:val="0"/>
                      <w:marTop w:val="0"/>
                      <w:marBottom w:val="0"/>
                      <w:divBdr>
                        <w:top w:val="none" w:sz="0" w:space="0" w:color="auto"/>
                        <w:left w:val="none" w:sz="0" w:space="0" w:color="auto"/>
                        <w:bottom w:val="none" w:sz="0" w:space="0" w:color="auto"/>
                        <w:right w:val="none" w:sz="0" w:space="0" w:color="auto"/>
                      </w:divBdr>
                    </w:div>
                  </w:divsChild>
                </w:div>
                <w:div w:id="416823762">
                  <w:marLeft w:val="0"/>
                  <w:marRight w:val="0"/>
                  <w:marTop w:val="0"/>
                  <w:marBottom w:val="0"/>
                  <w:divBdr>
                    <w:top w:val="none" w:sz="0" w:space="0" w:color="auto"/>
                    <w:left w:val="none" w:sz="0" w:space="0" w:color="auto"/>
                    <w:bottom w:val="none" w:sz="0" w:space="0" w:color="auto"/>
                    <w:right w:val="none" w:sz="0" w:space="0" w:color="auto"/>
                  </w:divBdr>
                  <w:divsChild>
                    <w:div w:id="847017421">
                      <w:marLeft w:val="0"/>
                      <w:marRight w:val="0"/>
                      <w:marTop w:val="0"/>
                      <w:marBottom w:val="0"/>
                      <w:divBdr>
                        <w:top w:val="none" w:sz="0" w:space="0" w:color="auto"/>
                        <w:left w:val="none" w:sz="0" w:space="0" w:color="auto"/>
                        <w:bottom w:val="none" w:sz="0" w:space="0" w:color="auto"/>
                        <w:right w:val="none" w:sz="0" w:space="0" w:color="auto"/>
                      </w:divBdr>
                    </w:div>
                    <w:div w:id="1486360774">
                      <w:marLeft w:val="0"/>
                      <w:marRight w:val="0"/>
                      <w:marTop w:val="0"/>
                      <w:marBottom w:val="0"/>
                      <w:divBdr>
                        <w:top w:val="none" w:sz="0" w:space="0" w:color="auto"/>
                        <w:left w:val="none" w:sz="0" w:space="0" w:color="auto"/>
                        <w:bottom w:val="none" w:sz="0" w:space="0" w:color="auto"/>
                        <w:right w:val="none" w:sz="0" w:space="0" w:color="auto"/>
                      </w:divBdr>
                    </w:div>
                  </w:divsChild>
                </w:div>
                <w:div w:id="467019013">
                  <w:marLeft w:val="0"/>
                  <w:marRight w:val="0"/>
                  <w:marTop w:val="0"/>
                  <w:marBottom w:val="0"/>
                  <w:divBdr>
                    <w:top w:val="none" w:sz="0" w:space="0" w:color="auto"/>
                    <w:left w:val="none" w:sz="0" w:space="0" w:color="auto"/>
                    <w:bottom w:val="none" w:sz="0" w:space="0" w:color="auto"/>
                    <w:right w:val="none" w:sz="0" w:space="0" w:color="auto"/>
                  </w:divBdr>
                  <w:divsChild>
                    <w:div w:id="459347578">
                      <w:marLeft w:val="0"/>
                      <w:marRight w:val="0"/>
                      <w:marTop w:val="0"/>
                      <w:marBottom w:val="0"/>
                      <w:divBdr>
                        <w:top w:val="none" w:sz="0" w:space="0" w:color="auto"/>
                        <w:left w:val="none" w:sz="0" w:space="0" w:color="auto"/>
                        <w:bottom w:val="none" w:sz="0" w:space="0" w:color="auto"/>
                        <w:right w:val="none" w:sz="0" w:space="0" w:color="auto"/>
                      </w:divBdr>
                    </w:div>
                    <w:div w:id="1126774485">
                      <w:marLeft w:val="0"/>
                      <w:marRight w:val="0"/>
                      <w:marTop w:val="0"/>
                      <w:marBottom w:val="0"/>
                      <w:divBdr>
                        <w:top w:val="none" w:sz="0" w:space="0" w:color="auto"/>
                        <w:left w:val="none" w:sz="0" w:space="0" w:color="auto"/>
                        <w:bottom w:val="none" w:sz="0" w:space="0" w:color="auto"/>
                        <w:right w:val="none" w:sz="0" w:space="0" w:color="auto"/>
                      </w:divBdr>
                    </w:div>
                  </w:divsChild>
                </w:div>
                <w:div w:id="468983682">
                  <w:marLeft w:val="0"/>
                  <w:marRight w:val="0"/>
                  <w:marTop w:val="0"/>
                  <w:marBottom w:val="0"/>
                  <w:divBdr>
                    <w:top w:val="none" w:sz="0" w:space="0" w:color="auto"/>
                    <w:left w:val="none" w:sz="0" w:space="0" w:color="auto"/>
                    <w:bottom w:val="none" w:sz="0" w:space="0" w:color="auto"/>
                    <w:right w:val="none" w:sz="0" w:space="0" w:color="auto"/>
                  </w:divBdr>
                  <w:divsChild>
                    <w:div w:id="316954182">
                      <w:marLeft w:val="0"/>
                      <w:marRight w:val="0"/>
                      <w:marTop w:val="0"/>
                      <w:marBottom w:val="0"/>
                      <w:divBdr>
                        <w:top w:val="none" w:sz="0" w:space="0" w:color="auto"/>
                        <w:left w:val="none" w:sz="0" w:space="0" w:color="auto"/>
                        <w:bottom w:val="none" w:sz="0" w:space="0" w:color="auto"/>
                        <w:right w:val="none" w:sz="0" w:space="0" w:color="auto"/>
                      </w:divBdr>
                    </w:div>
                    <w:div w:id="1365446778">
                      <w:marLeft w:val="0"/>
                      <w:marRight w:val="0"/>
                      <w:marTop w:val="0"/>
                      <w:marBottom w:val="0"/>
                      <w:divBdr>
                        <w:top w:val="none" w:sz="0" w:space="0" w:color="auto"/>
                        <w:left w:val="none" w:sz="0" w:space="0" w:color="auto"/>
                        <w:bottom w:val="none" w:sz="0" w:space="0" w:color="auto"/>
                        <w:right w:val="none" w:sz="0" w:space="0" w:color="auto"/>
                      </w:divBdr>
                    </w:div>
                    <w:div w:id="1515996622">
                      <w:marLeft w:val="0"/>
                      <w:marRight w:val="0"/>
                      <w:marTop w:val="0"/>
                      <w:marBottom w:val="0"/>
                      <w:divBdr>
                        <w:top w:val="none" w:sz="0" w:space="0" w:color="auto"/>
                        <w:left w:val="none" w:sz="0" w:space="0" w:color="auto"/>
                        <w:bottom w:val="none" w:sz="0" w:space="0" w:color="auto"/>
                        <w:right w:val="none" w:sz="0" w:space="0" w:color="auto"/>
                      </w:divBdr>
                    </w:div>
                  </w:divsChild>
                </w:div>
                <w:div w:id="486632149">
                  <w:marLeft w:val="0"/>
                  <w:marRight w:val="0"/>
                  <w:marTop w:val="0"/>
                  <w:marBottom w:val="0"/>
                  <w:divBdr>
                    <w:top w:val="none" w:sz="0" w:space="0" w:color="auto"/>
                    <w:left w:val="none" w:sz="0" w:space="0" w:color="auto"/>
                    <w:bottom w:val="none" w:sz="0" w:space="0" w:color="auto"/>
                    <w:right w:val="none" w:sz="0" w:space="0" w:color="auto"/>
                  </w:divBdr>
                  <w:divsChild>
                    <w:div w:id="71245880">
                      <w:marLeft w:val="0"/>
                      <w:marRight w:val="0"/>
                      <w:marTop w:val="0"/>
                      <w:marBottom w:val="0"/>
                      <w:divBdr>
                        <w:top w:val="none" w:sz="0" w:space="0" w:color="auto"/>
                        <w:left w:val="none" w:sz="0" w:space="0" w:color="auto"/>
                        <w:bottom w:val="none" w:sz="0" w:space="0" w:color="auto"/>
                        <w:right w:val="none" w:sz="0" w:space="0" w:color="auto"/>
                      </w:divBdr>
                    </w:div>
                    <w:div w:id="1711998676">
                      <w:marLeft w:val="0"/>
                      <w:marRight w:val="0"/>
                      <w:marTop w:val="0"/>
                      <w:marBottom w:val="0"/>
                      <w:divBdr>
                        <w:top w:val="none" w:sz="0" w:space="0" w:color="auto"/>
                        <w:left w:val="none" w:sz="0" w:space="0" w:color="auto"/>
                        <w:bottom w:val="none" w:sz="0" w:space="0" w:color="auto"/>
                        <w:right w:val="none" w:sz="0" w:space="0" w:color="auto"/>
                      </w:divBdr>
                    </w:div>
                  </w:divsChild>
                </w:div>
                <w:div w:id="502933399">
                  <w:marLeft w:val="0"/>
                  <w:marRight w:val="0"/>
                  <w:marTop w:val="0"/>
                  <w:marBottom w:val="0"/>
                  <w:divBdr>
                    <w:top w:val="none" w:sz="0" w:space="0" w:color="auto"/>
                    <w:left w:val="none" w:sz="0" w:space="0" w:color="auto"/>
                    <w:bottom w:val="none" w:sz="0" w:space="0" w:color="auto"/>
                    <w:right w:val="none" w:sz="0" w:space="0" w:color="auto"/>
                  </w:divBdr>
                  <w:divsChild>
                    <w:div w:id="1503928957">
                      <w:marLeft w:val="0"/>
                      <w:marRight w:val="0"/>
                      <w:marTop w:val="0"/>
                      <w:marBottom w:val="0"/>
                      <w:divBdr>
                        <w:top w:val="none" w:sz="0" w:space="0" w:color="auto"/>
                        <w:left w:val="none" w:sz="0" w:space="0" w:color="auto"/>
                        <w:bottom w:val="none" w:sz="0" w:space="0" w:color="auto"/>
                        <w:right w:val="none" w:sz="0" w:space="0" w:color="auto"/>
                      </w:divBdr>
                    </w:div>
                  </w:divsChild>
                </w:div>
                <w:div w:id="537552622">
                  <w:marLeft w:val="0"/>
                  <w:marRight w:val="0"/>
                  <w:marTop w:val="0"/>
                  <w:marBottom w:val="0"/>
                  <w:divBdr>
                    <w:top w:val="none" w:sz="0" w:space="0" w:color="auto"/>
                    <w:left w:val="none" w:sz="0" w:space="0" w:color="auto"/>
                    <w:bottom w:val="none" w:sz="0" w:space="0" w:color="auto"/>
                    <w:right w:val="none" w:sz="0" w:space="0" w:color="auto"/>
                  </w:divBdr>
                  <w:divsChild>
                    <w:div w:id="776217206">
                      <w:marLeft w:val="0"/>
                      <w:marRight w:val="0"/>
                      <w:marTop w:val="0"/>
                      <w:marBottom w:val="0"/>
                      <w:divBdr>
                        <w:top w:val="none" w:sz="0" w:space="0" w:color="auto"/>
                        <w:left w:val="none" w:sz="0" w:space="0" w:color="auto"/>
                        <w:bottom w:val="none" w:sz="0" w:space="0" w:color="auto"/>
                        <w:right w:val="none" w:sz="0" w:space="0" w:color="auto"/>
                      </w:divBdr>
                    </w:div>
                    <w:div w:id="1484393657">
                      <w:marLeft w:val="0"/>
                      <w:marRight w:val="0"/>
                      <w:marTop w:val="0"/>
                      <w:marBottom w:val="0"/>
                      <w:divBdr>
                        <w:top w:val="none" w:sz="0" w:space="0" w:color="auto"/>
                        <w:left w:val="none" w:sz="0" w:space="0" w:color="auto"/>
                        <w:bottom w:val="none" w:sz="0" w:space="0" w:color="auto"/>
                        <w:right w:val="none" w:sz="0" w:space="0" w:color="auto"/>
                      </w:divBdr>
                    </w:div>
                  </w:divsChild>
                </w:div>
                <w:div w:id="546381280">
                  <w:marLeft w:val="0"/>
                  <w:marRight w:val="0"/>
                  <w:marTop w:val="0"/>
                  <w:marBottom w:val="0"/>
                  <w:divBdr>
                    <w:top w:val="none" w:sz="0" w:space="0" w:color="auto"/>
                    <w:left w:val="none" w:sz="0" w:space="0" w:color="auto"/>
                    <w:bottom w:val="none" w:sz="0" w:space="0" w:color="auto"/>
                    <w:right w:val="none" w:sz="0" w:space="0" w:color="auto"/>
                  </w:divBdr>
                  <w:divsChild>
                    <w:div w:id="409279853">
                      <w:marLeft w:val="0"/>
                      <w:marRight w:val="0"/>
                      <w:marTop w:val="0"/>
                      <w:marBottom w:val="0"/>
                      <w:divBdr>
                        <w:top w:val="none" w:sz="0" w:space="0" w:color="auto"/>
                        <w:left w:val="none" w:sz="0" w:space="0" w:color="auto"/>
                        <w:bottom w:val="none" w:sz="0" w:space="0" w:color="auto"/>
                        <w:right w:val="none" w:sz="0" w:space="0" w:color="auto"/>
                      </w:divBdr>
                    </w:div>
                    <w:div w:id="1805728619">
                      <w:marLeft w:val="0"/>
                      <w:marRight w:val="0"/>
                      <w:marTop w:val="0"/>
                      <w:marBottom w:val="0"/>
                      <w:divBdr>
                        <w:top w:val="none" w:sz="0" w:space="0" w:color="auto"/>
                        <w:left w:val="none" w:sz="0" w:space="0" w:color="auto"/>
                        <w:bottom w:val="none" w:sz="0" w:space="0" w:color="auto"/>
                        <w:right w:val="none" w:sz="0" w:space="0" w:color="auto"/>
                      </w:divBdr>
                    </w:div>
                  </w:divsChild>
                </w:div>
                <w:div w:id="548567275">
                  <w:marLeft w:val="0"/>
                  <w:marRight w:val="0"/>
                  <w:marTop w:val="0"/>
                  <w:marBottom w:val="0"/>
                  <w:divBdr>
                    <w:top w:val="none" w:sz="0" w:space="0" w:color="auto"/>
                    <w:left w:val="none" w:sz="0" w:space="0" w:color="auto"/>
                    <w:bottom w:val="none" w:sz="0" w:space="0" w:color="auto"/>
                    <w:right w:val="none" w:sz="0" w:space="0" w:color="auto"/>
                  </w:divBdr>
                  <w:divsChild>
                    <w:div w:id="615141789">
                      <w:marLeft w:val="0"/>
                      <w:marRight w:val="0"/>
                      <w:marTop w:val="0"/>
                      <w:marBottom w:val="0"/>
                      <w:divBdr>
                        <w:top w:val="none" w:sz="0" w:space="0" w:color="auto"/>
                        <w:left w:val="none" w:sz="0" w:space="0" w:color="auto"/>
                        <w:bottom w:val="none" w:sz="0" w:space="0" w:color="auto"/>
                        <w:right w:val="none" w:sz="0" w:space="0" w:color="auto"/>
                      </w:divBdr>
                    </w:div>
                    <w:div w:id="1136945846">
                      <w:marLeft w:val="0"/>
                      <w:marRight w:val="0"/>
                      <w:marTop w:val="0"/>
                      <w:marBottom w:val="0"/>
                      <w:divBdr>
                        <w:top w:val="none" w:sz="0" w:space="0" w:color="auto"/>
                        <w:left w:val="none" w:sz="0" w:space="0" w:color="auto"/>
                        <w:bottom w:val="none" w:sz="0" w:space="0" w:color="auto"/>
                        <w:right w:val="none" w:sz="0" w:space="0" w:color="auto"/>
                      </w:divBdr>
                    </w:div>
                    <w:div w:id="1777359022">
                      <w:marLeft w:val="0"/>
                      <w:marRight w:val="0"/>
                      <w:marTop w:val="0"/>
                      <w:marBottom w:val="0"/>
                      <w:divBdr>
                        <w:top w:val="none" w:sz="0" w:space="0" w:color="auto"/>
                        <w:left w:val="none" w:sz="0" w:space="0" w:color="auto"/>
                        <w:bottom w:val="none" w:sz="0" w:space="0" w:color="auto"/>
                        <w:right w:val="none" w:sz="0" w:space="0" w:color="auto"/>
                      </w:divBdr>
                    </w:div>
                  </w:divsChild>
                </w:div>
                <w:div w:id="561451840">
                  <w:marLeft w:val="0"/>
                  <w:marRight w:val="0"/>
                  <w:marTop w:val="0"/>
                  <w:marBottom w:val="0"/>
                  <w:divBdr>
                    <w:top w:val="none" w:sz="0" w:space="0" w:color="auto"/>
                    <w:left w:val="none" w:sz="0" w:space="0" w:color="auto"/>
                    <w:bottom w:val="none" w:sz="0" w:space="0" w:color="auto"/>
                    <w:right w:val="none" w:sz="0" w:space="0" w:color="auto"/>
                  </w:divBdr>
                  <w:divsChild>
                    <w:div w:id="1302614306">
                      <w:marLeft w:val="0"/>
                      <w:marRight w:val="0"/>
                      <w:marTop w:val="0"/>
                      <w:marBottom w:val="0"/>
                      <w:divBdr>
                        <w:top w:val="none" w:sz="0" w:space="0" w:color="auto"/>
                        <w:left w:val="none" w:sz="0" w:space="0" w:color="auto"/>
                        <w:bottom w:val="none" w:sz="0" w:space="0" w:color="auto"/>
                        <w:right w:val="none" w:sz="0" w:space="0" w:color="auto"/>
                      </w:divBdr>
                    </w:div>
                    <w:div w:id="1862740450">
                      <w:marLeft w:val="0"/>
                      <w:marRight w:val="0"/>
                      <w:marTop w:val="0"/>
                      <w:marBottom w:val="0"/>
                      <w:divBdr>
                        <w:top w:val="none" w:sz="0" w:space="0" w:color="auto"/>
                        <w:left w:val="none" w:sz="0" w:space="0" w:color="auto"/>
                        <w:bottom w:val="none" w:sz="0" w:space="0" w:color="auto"/>
                        <w:right w:val="none" w:sz="0" w:space="0" w:color="auto"/>
                      </w:divBdr>
                    </w:div>
                  </w:divsChild>
                </w:div>
                <w:div w:id="566963903">
                  <w:marLeft w:val="0"/>
                  <w:marRight w:val="0"/>
                  <w:marTop w:val="0"/>
                  <w:marBottom w:val="0"/>
                  <w:divBdr>
                    <w:top w:val="none" w:sz="0" w:space="0" w:color="auto"/>
                    <w:left w:val="none" w:sz="0" w:space="0" w:color="auto"/>
                    <w:bottom w:val="none" w:sz="0" w:space="0" w:color="auto"/>
                    <w:right w:val="none" w:sz="0" w:space="0" w:color="auto"/>
                  </w:divBdr>
                  <w:divsChild>
                    <w:div w:id="95752050">
                      <w:marLeft w:val="0"/>
                      <w:marRight w:val="0"/>
                      <w:marTop w:val="0"/>
                      <w:marBottom w:val="0"/>
                      <w:divBdr>
                        <w:top w:val="none" w:sz="0" w:space="0" w:color="auto"/>
                        <w:left w:val="none" w:sz="0" w:space="0" w:color="auto"/>
                        <w:bottom w:val="none" w:sz="0" w:space="0" w:color="auto"/>
                        <w:right w:val="none" w:sz="0" w:space="0" w:color="auto"/>
                      </w:divBdr>
                    </w:div>
                    <w:div w:id="374936535">
                      <w:marLeft w:val="0"/>
                      <w:marRight w:val="0"/>
                      <w:marTop w:val="0"/>
                      <w:marBottom w:val="0"/>
                      <w:divBdr>
                        <w:top w:val="none" w:sz="0" w:space="0" w:color="auto"/>
                        <w:left w:val="none" w:sz="0" w:space="0" w:color="auto"/>
                        <w:bottom w:val="none" w:sz="0" w:space="0" w:color="auto"/>
                        <w:right w:val="none" w:sz="0" w:space="0" w:color="auto"/>
                      </w:divBdr>
                    </w:div>
                  </w:divsChild>
                </w:div>
                <w:div w:id="646938548">
                  <w:marLeft w:val="0"/>
                  <w:marRight w:val="0"/>
                  <w:marTop w:val="0"/>
                  <w:marBottom w:val="0"/>
                  <w:divBdr>
                    <w:top w:val="none" w:sz="0" w:space="0" w:color="auto"/>
                    <w:left w:val="none" w:sz="0" w:space="0" w:color="auto"/>
                    <w:bottom w:val="none" w:sz="0" w:space="0" w:color="auto"/>
                    <w:right w:val="none" w:sz="0" w:space="0" w:color="auto"/>
                  </w:divBdr>
                  <w:divsChild>
                    <w:div w:id="725958378">
                      <w:marLeft w:val="0"/>
                      <w:marRight w:val="0"/>
                      <w:marTop w:val="0"/>
                      <w:marBottom w:val="0"/>
                      <w:divBdr>
                        <w:top w:val="none" w:sz="0" w:space="0" w:color="auto"/>
                        <w:left w:val="none" w:sz="0" w:space="0" w:color="auto"/>
                        <w:bottom w:val="none" w:sz="0" w:space="0" w:color="auto"/>
                        <w:right w:val="none" w:sz="0" w:space="0" w:color="auto"/>
                      </w:divBdr>
                    </w:div>
                  </w:divsChild>
                </w:div>
                <w:div w:id="688022898">
                  <w:marLeft w:val="0"/>
                  <w:marRight w:val="0"/>
                  <w:marTop w:val="0"/>
                  <w:marBottom w:val="0"/>
                  <w:divBdr>
                    <w:top w:val="none" w:sz="0" w:space="0" w:color="auto"/>
                    <w:left w:val="none" w:sz="0" w:space="0" w:color="auto"/>
                    <w:bottom w:val="none" w:sz="0" w:space="0" w:color="auto"/>
                    <w:right w:val="none" w:sz="0" w:space="0" w:color="auto"/>
                  </w:divBdr>
                  <w:divsChild>
                    <w:div w:id="839395682">
                      <w:marLeft w:val="0"/>
                      <w:marRight w:val="0"/>
                      <w:marTop w:val="0"/>
                      <w:marBottom w:val="0"/>
                      <w:divBdr>
                        <w:top w:val="none" w:sz="0" w:space="0" w:color="auto"/>
                        <w:left w:val="none" w:sz="0" w:space="0" w:color="auto"/>
                        <w:bottom w:val="none" w:sz="0" w:space="0" w:color="auto"/>
                        <w:right w:val="none" w:sz="0" w:space="0" w:color="auto"/>
                      </w:divBdr>
                    </w:div>
                  </w:divsChild>
                </w:div>
                <w:div w:id="730270814">
                  <w:marLeft w:val="0"/>
                  <w:marRight w:val="0"/>
                  <w:marTop w:val="0"/>
                  <w:marBottom w:val="0"/>
                  <w:divBdr>
                    <w:top w:val="none" w:sz="0" w:space="0" w:color="auto"/>
                    <w:left w:val="none" w:sz="0" w:space="0" w:color="auto"/>
                    <w:bottom w:val="none" w:sz="0" w:space="0" w:color="auto"/>
                    <w:right w:val="none" w:sz="0" w:space="0" w:color="auto"/>
                  </w:divBdr>
                  <w:divsChild>
                    <w:div w:id="510680712">
                      <w:marLeft w:val="0"/>
                      <w:marRight w:val="0"/>
                      <w:marTop w:val="0"/>
                      <w:marBottom w:val="0"/>
                      <w:divBdr>
                        <w:top w:val="none" w:sz="0" w:space="0" w:color="auto"/>
                        <w:left w:val="none" w:sz="0" w:space="0" w:color="auto"/>
                        <w:bottom w:val="none" w:sz="0" w:space="0" w:color="auto"/>
                        <w:right w:val="none" w:sz="0" w:space="0" w:color="auto"/>
                      </w:divBdr>
                    </w:div>
                    <w:div w:id="586233504">
                      <w:marLeft w:val="0"/>
                      <w:marRight w:val="0"/>
                      <w:marTop w:val="0"/>
                      <w:marBottom w:val="0"/>
                      <w:divBdr>
                        <w:top w:val="none" w:sz="0" w:space="0" w:color="auto"/>
                        <w:left w:val="none" w:sz="0" w:space="0" w:color="auto"/>
                        <w:bottom w:val="none" w:sz="0" w:space="0" w:color="auto"/>
                        <w:right w:val="none" w:sz="0" w:space="0" w:color="auto"/>
                      </w:divBdr>
                    </w:div>
                  </w:divsChild>
                </w:div>
                <w:div w:id="746802480">
                  <w:marLeft w:val="0"/>
                  <w:marRight w:val="0"/>
                  <w:marTop w:val="0"/>
                  <w:marBottom w:val="0"/>
                  <w:divBdr>
                    <w:top w:val="none" w:sz="0" w:space="0" w:color="auto"/>
                    <w:left w:val="none" w:sz="0" w:space="0" w:color="auto"/>
                    <w:bottom w:val="none" w:sz="0" w:space="0" w:color="auto"/>
                    <w:right w:val="none" w:sz="0" w:space="0" w:color="auto"/>
                  </w:divBdr>
                  <w:divsChild>
                    <w:div w:id="831412545">
                      <w:marLeft w:val="0"/>
                      <w:marRight w:val="0"/>
                      <w:marTop w:val="0"/>
                      <w:marBottom w:val="0"/>
                      <w:divBdr>
                        <w:top w:val="none" w:sz="0" w:space="0" w:color="auto"/>
                        <w:left w:val="none" w:sz="0" w:space="0" w:color="auto"/>
                        <w:bottom w:val="none" w:sz="0" w:space="0" w:color="auto"/>
                        <w:right w:val="none" w:sz="0" w:space="0" w:color="auto"/>
                      </w:divBdr>
                    </w:div>
                    <w:div w:id="1985961792">
                      <w:marLeft w:val="0"/>
                      <w:marRight w:val="0"/>
                      <w:marTop w:val="0"/>
                      <w:marBottom w:val="0"/>
                      <w:divBdr>
                        <w:top w:val="none" w:sz="0" w:space="0" w:color="auto"/>
                        <w:left w:val="none" w:sz="0" w:space="0" w:color="auto"/>
                        <w:bottom w:val="none" w:sz="0" w:space="0" w:color="auto"/>
                        <w:right w:val="none" w:sz="0" w:space="0" w:color="auto"/>
                      </w:divBdr>
                    </w:div>
                  </w:divsChild>
                </w:div>
                <w:div w:id="789858952">
                  <w:marLeft w:val="0"/>
                  <w:marRight w:val="0"/>
                  <w:marTop w:val="0"/>
                  <w:marBottom w:val="0"/>
                  <w:divBdr>
                    <w:top w:val="none" w:sz="0" w:space="0" w:color="auto"/>
                    <w:left w:val="none" w:sz="0" w:space="0" w:color="auto"/>
                    <w:bottom w:val="none" w:sz="0" w:space="0" w:color="auto"/>
                    <w:right w:val="none" w:sz="0" w:space="0" w:color="auto"/>
                  </w:divBdr>
                  <w:divsChild>
                    <w:div w:id="38405992">
                      <w:marLeft w:val="0"/>
                      <w:marRight w:val="0"/>
                      <w:marTop w:val="0"/>
                      <w:marBottom w:val="0"/>
                      <w:divBdr>
                        <w:top w:val="none" w:sz="0" w:space="0" w:color="auto"/>
                        <w:left w:val="none" w:sz="0" w:space="0" w:color="auto"/>
                        <w:bottom w:val="none" w:sz="0" w:space="0" w:color="auto"/>
                        <w:right w:val="none" w:sz="0" w:space="0" w:color="auto"/>
                      </w:divBdr>
                    </w:div>
                    <w:div w:id="1151025213">
                      <w:marLeft w:val="0"/>
                      <w:marRight w:val="0"/>
                      <w:marTop w:val="0"/>
                      <w:marBottom w:val="0"/>
                      <w:divBdr>
                        <w:top w:val="none" w:sz="0" w:space="0" w:color="auto"/>
                        <w:left w:val="none" w:sz="0" w:space="0" w:color="auto"/>
                        <w:bottom w:val="none" w:sz="0" w:space="0" w:color="auto"/>
                        <w:right w:val="none" w:sz="0" w:space="0" w:color="auto"/>
                      </w:divBdr>
                    </w:div>
                  </w:divsChild>
                </w:div>
                <w:div w:id="798836673">
                  <w:marLeft w:val="0"/>
                  <w:marRight w:val="0"/>
                  <w:marTop w:val="0"/>
                  <w:marBottom w:val="0"/>
                  <w:divBdr>
                    <w:top w:val="none" w:sz="0" w:space="0" w:color="auto"/>
                    <w:left w:val="none" w:sz="0" w:space="0" w:color="auto"/>
                    <w:bottom w:val="none" w:sz="0" w:space="0" w:color="auto"/>
                    <w:right w:val="none" w:sz="0" w:space="0" w:color="auto"/>
                  </w:divBdr>
                  <w:divsChild>
                    <w:div w:id="21247351">
                      <w:marLeft w:val="0"/>
                      <w:marRight w:val="0"/>
                      <w:marTop w:val="0"/>
                      <w:marBottom w:val="0"/>
                      <w:divBdr>
                        <w:top w:val="none" w:sz="0" w:space="0" w:color="auto"/>
                        <w:left w:val="none" w:sz="0" w:space="0" w:color="auto"/>
                        <w:bottom w:val="none" w:sz="0" w:space="0" w:color="auto"/>
                        <w:right w:val="none" w:sz="0" w:space="0" w:color="auto"/>
                      </w:divBdr>
                    </w:div>
                    <w:div w:id="184486779">
                      <w:marLeft w:val="0"/>
                      <w:marRight w:val="0"/>
                      <w:marTop w:val="0"/>
                      <w:marBottom w:val="0"/>
                      <w:divBdr>
                        <w:top w:val="none" w:sz="0" w:space="0" w:color="auto"/>
                        <w:left w:val="none" w:sz="0" w:space="0" w:color="auto"/>
                        <w:bottom w:val="none" w:sz="0" w:space="0" w:color="auto"/>
                        <w:right w:val="none" w:sz="0" w:space="0" w:color="auto"/>
                      </w:divBdr>
                    </w:div>
                  </w:divsChild>
                </w:div>
                <w:div w:id="810713030">
                  <w:marLeft w:val="0"/>
                  <w:marRight w:val="0"/>
                  <w:marTop w:val="0"/>
                  <w:marBottom w:val="0"/>
                  <w:divBdr>
                    <w:top w:val="none" w:sz="0" w:space="0" w:color="auto"/>
                    <w:left w:val="none" w:sz="0" w:space="0" w:color="auto"/>
                    <w:bottom w:val="none" w:sz="0" w:space="0" w:color="auto"/>
                    <w:right w:val="none" w:sz="0" w:space="0" w:color="auto"/>
                  </w:divBdr>
                  <w:divsChild>
                    <w:div w:id="172762523">
                      <w:marLeft w:val="0"/>
                      <w:marRight w:val="0"/>
                      <w:marTop w:val="0"/>
                      <w:marBottom w:val="0"/>
                      <w:divBdr>
                        <w:top w:val="none" w:sz="0" w:space="0" w:color="auto"/>
                        <w:left w:val="none" w:sz="0" w:space="0" w:color="auto"/>
                        <w:bottom w:val="none" w:sz="0" w:space="0" w:color="auto"/>
                        <w:right w:val="none" w:sz="0" w:space="0" w:color="auto"/>
                      </w:divBdr>
                    </w:div>
                    <w:div w:id="2012368995">
                      <w:marLeft w:val="0"/>
                      <w:marRight w:val="0"/>
                      <w:marTop w:val="0"/>
                      <w:marBottom w:val="0"/>
                      <w:divBdr>
                        <w:top w:val="none" w:sz="0" w:space="0" w:color="auto"/>
                        <w:left w:val="none" w:sz="0" w:space="0" w:color="auto"/>
                        <w:bottom w:val="none" w:sz="0" w:space="0" w:color="auto"/>
                        <w:right w:val="none" w:sz="0" w:space="0" w:color="auto"/>
                      </w:divBdr>
                    </w:div>
                  </w:divsChild>
                </w:div>
                <w:div w:id="816386788">
                  <w:marLeft w:val="0"/>
                  <w:marRight w:val="0"/>
                  <w:marTop w:val="0"/>
                  <w:marBottom w:val="0"/>
                  <w:divBdr>
                    <w:top w:val="none" w:sz="0" w:space="0" w:color="auto"/>
                    <w:left w:val="none" w:sz="0" w:space="0" w:color="auto"/>
                    <w:bottom w:val="none" w:sz="0" w:space="0" w:color="auto"/>
                    <w:right w:val="none" w:sz="0" w:space="0" w:color="auto"/>
                  </w:divBdr>
                  <w:divsChild>
                    <w:div w:id="723871850">
                      <w:marLeft w:val="0"/>
                      <w:marRight w:val="0"/>
                      <w:marTop w:val="0"/>
                      <w:marBottom w:val="0"/>
                      <w:divBdr>
                        <w:top w:val="none" w:sz="0" w:space="0" w:color="auto"/>
                        <w:left w:val="none" w:sz="0" w:space="0" w:color="auto"/>
                        <w:bottom w:val="none" w:sz="0" w:space="0" w:color="auto"/>
                        <w:right w:val="none" w:sz="0" w:space="0" w:color="auto"/>
                      </w:divBdr>
                    </w:div>
                    <w:div w:id="1135217279">
                      <w:marLeft w:val="0"/>
                      <w:marRight w:val="0"/>
                      <w:marTop w:val="0"/>
                      <w:marBottom w:val="0"/>
                      <w:divBdr>
                        <w:top w:val="none" w:sz="0" w:space="0" w:color="auto"/>
                        <w:left w:val="none" w:sz="0" w:space="0" w:color="auto"/>
                        <w:bottom w:val="none" w:sz="0" w:space="0" w:color="auto"/>
                        <w:right w:val="none" w:sz="0" w:space="0" w:color="auto"/>
                      </w:divBdr>
                    </w:div>
                  </w:divsChild>
                </w:div>
                <w:div w:id="863130455">
                  <w:marLeft w:val="0"/>
                  <w:marRight w:val="0"/>
                  <w:marTop w:val="0"/>
                  <w:marBottom w:val="0"/>
                  <w:divBdr>
                    <w:top w:val="none" w:sz="0" w:space="0" w:color="auto"/>
                    <w:left w:val="none" w:sz="0" w:space="0" w:color="auto"/>
                    <w:bottom w:val="none" w:sz="0" w:space="0" w:color="auto"/>
                    <w:right w:val="none" w:sz="0" w:space="0" w:color="auto"/>
                  </w:divBdr>
                  <w:divsChild>
                    <w:div w:id="319896118">
                      <w:marLeft w:val="0"/>
                      <w:marRight w:val="0"/>
                      <w:marTop w:val="0"/>
                      <w:marBottom w:val="0"/>
                      <w:divBdr>
                        <w:top w:val="none" w:sz="0" w:space="0" w:color="auto"/>
                        <w:left w:val="none" w:sz="0" w:space="0" w:color="auto"/>
                        <w:bottom w:val="none" w:sz="0" w:space="0" w:color="auto"/>
                        <w:right w:val="none" w:sz="0" w:space="0" w:color="auto"/>
                      </w:divBdr>
                    </w:div>
                    <w:div w:id="1042292608">
                      <w:marLeft w:val="0"/>
                      <w:marRight w:val="0"/>
                      <w:marTop w:val="0"/>
                      <w:marBottom w:val="0"/>
                      <w:divBdr>
                        <w:top w:val="none" w:sz="0" w:space="0" w:color="auto"/>
                        <w:left w:val="none" w:sz="0" w:space="0" w:color="auto"/>
                        <w:bottom w:val="none" w:sz="0" w:space="0" w:color="auto"/>
                        <w:right w:val="none" w:sz="0" w:space="0" w:color="auto"/>
                      </w:divBdr>
                    </w:div>
                    <w:div w:id="2112429453">
                      <w:marLeft w:val="0"/>
                      <w:marRight w:val="0"/>
                      <w:marTop w:val="0"/>
                      <w:marBottom w:val="0"/>
                      <w:divBdr>
                        <w:top w:val="none" w:sz="0" w:space="0" w:color="auto"/>
                        <w:left w:val="none" w:sz="0" w:space="0" w:color="auto"/>
                        <w:bottom w:val="none" w:sz="0" w:space="0" w:color="auto"/>
                        <w:right w:val="none" w:sz="0" w:space="0" w:color="auto"/>
                      </w:divBdr>
                    </w:div>
                  </w:divsChild>
                </w:div>
                <w:div w:id="888884972">
                  <w:marLeft w:val="0"/>
                  <w:marRight w:val="0"/>
                  <w:marTop w:val="0"/>
                  <w:marBottom w:val="0"/>
                  <w:divBdr>
                    <w:top w:val="none" w:sz="0" w:space="0" w:color="auto"/>
                    <w:left w:val="none" w:sz="0" w:space="0" w:color="auto"/>
                    <w:bottom w:val="none" w:sz="0" w:space="0" w:color="auto"/>
                    <w:right w:val="none" w:sz="0" w:space="0" w:color="auto"/>
                  </w:divBdr>
                  <w:divsChild>
                    <w:div w:id="1804931119">
                      <w:marLeft w:val="0"/>
                      <w:marRight w:val="0"/>
                      <w:marTop w:val="0"/>
                      <w:marBottom w:val="0"/>
                      <w:divBdr>
                        <w:top w:val="none" w:sz="0" w:space="0" w:color="auto"/>
                        <w:left w:val="none" w:sz="0" w:space="0" w:color="auto"/>
                        <w:bottom w:val="none" w:sz="0" w:space="0" w:color="auto"/>
                        <w:right w:val="none" w:sz="0" w:space="0" w:color="auto"/>
                      </w:divBdr>
                    </w:div>
                    <w:div w:id="1922904719">
                      <w:marLeft w:val="0"/>
                      <w:marRight w:val="0"/>
                      <w:marTop w:val="0"/>
                      <w:marBottom w:val="0"/>
                      <w:divBdr>
                        <w:top w:val="none" w:sz="0" w:space="0" w:color="auto"/>
                        <w:left w:val="none" w:sz="0" w:space="0" w:color="auto"/>
                        <w:bottom w:val="none" w:sz="0" w:space="0" w:color="auto"/>
                        <w:right w:val="none" w:sz="0" w:space="0" w:color="auto"/>
                      </w:divBdr>
                    </w:div>
                  </w:divsChild>
                </w:div>
                <w:div w:id="914322147">
                  <w:marLeft w:val="0"/>
                  <w:marRight w:val="0"/>
                  <w:marTop w:val="0"/>
                  <w:marBottom w:val="0"/>
                  <w:divBdr>
                    <w:top w:val="none" w:sz="0" w:space="0" w:color="auto"/>
                    <w:left w:val="none" w:sz="0" w:space="0" w:color="auto"/>
                    <w:bottom w:val="none" w:sz="0" w:space="0" w:color="auto"/>
                    <w:right w:val="none" w:sz="0" w:space="0" w:color="auto"/>
                  </w:divBdr>
                  <w:divsChild>
                    <w:div w:id="1680813301">
                      <w:marLeft w:val="0"/>
                      <w:marRight w:val="0"/>
                      <w:marTop w:val="0"/>
                      <w:marBottom w:val="0"/>
                      <w:divBdr>
                        <w:top w:val="none" w:sz="0" w:space="0" w:color="auto"/>
                        <w:left w:val="none" w:sz="0" w:space="0" w:color="auto"/>
                        <w:bottom w:val="none" w:sz="0" w:space="0" w:color="auto"/>
                        <w:right w:val="none" w:sz="0" w:space="0" w:color="auto"/>
                      </w:divBdr>
                    </w:div>
                    <w:div w:id="2097707209">
                      <w:marLeft w:val="0"/>
                      <w:marRight w:val="0"/>
                      <w:marTop w:val="0"/>
                      <w:marBottom w:val="0"/>
                      <w:divBdr>
                        <w:top w:val="none" w:sz="0" w:space="0" w:color="auto"/>
                        <w:left w:val="none" w:sz="0" w:space="0" w:color="auto"/>
                        <w:bottom w:val="none" w:sz="0" w:space="0" w:color="auto"/>
                        <w:right w:val="none" w:sz="0" w:space="0" w:color="auto"/>
                      </w:divBdr>
                    </w:div>
                  </w:divsChild>
                </w:div>
                <w:div w:id="986322119">
                  <w:marLeft w:val="0"/>
                  <w:marRight w:val="0"/>
                  <w:marTop w:val="0"/>
                  <w:marBottom w:val="0"/>
                  <w:divBdr>
                    <w:top w:val="none" w:sz="0" w:space="0" w:color="auto"/>
                    <w:left w:val="none" w:sz="0" w:space="0" w:color="auto"/>
                    <w:bottom w:val="none" w:sz="0" w:space="0" w:color="auto"/>
                    <w:right w:val="none" w:sz="0" w:space="0" w:color="auto"/>
                  </w:divBdr>
                  <w:divsChild>
                    <w:div w:id="1277637471">
                      <w:marLeft w:val="0"/>
                      <w:marRight w:val="0"/>
                      <w:marTop w:val="0"/>
                      <w:marBottom w:val="0"/>
                      <w:divBdr>
                        <w:top w:val="none" w:sz="0" w:space="0" w:color="auto"/>
                        <w:left w:val="none" w:sz="0" w:space="0" w:color="auto"/>
                        <w:bottom w:val="none" w:sz="0" w:space="0" w:color="auto"/>
                        <w:right w:val="none" w:sz="0" w:space="0" w:color="auto"/>
                      </w:divBdr>
                    </w:div>
                    <w:div w:id="1562211541">
                      <w:marLeft w:val="0"/>
                      <w:marRight w:val="0"/>
                      <w:marTop w:val="0"/>
                      <w:marBottom w:val="0"/>
                      <w:divBdr>
                        <w:top w:val="none" w:sz="0" w:space="0" w:color="auto"/>
                        <w:left w:val="none" w:sz="0" w:space="0" w:color="auto"/>
                        <w:bottom w:val="none" w:sz="0" w:space="0" w:color="auto"/>
                        <w:right w:val="none" w:sz="0" w:space="0" w:color="auto"/>
                      </w:divBdr>
                    </w:div>
                  </w:divsChild>
                </w:div>
                <w:div w:id="1040204761">
                  <w:marLeft w:val="0"/>
                  <w:marRight w:val="0"/>
                  <w:marTop w:val="0"/>
                  <w:marBottom w:val="0"/>
                  <w:divBdr>
                    <w:top w:val="none" w:sz="0" w:space="0" w:color="auto"/>
                    <w:left w:val="none" w:sz="0" w:space="0" w:color="auto"/>
                    <w:bottom w:val="none" w:sz="0" w:space="0" w:color="auto"/>
                    <w:right w:val="none" w:sz="0" w:space="0" w:color="auto"/>
                  </w:divBdr>
                  <w:divsChild>
                    <w:div w:id="428238165">
                      <w:marLeft w:val="0"/>
                      <w:marRight w:val="0"/>
                      <w:marTop w:val="0"/>
                      <w:marBottom w:val="0"/>
                      <w:divBdr>
                        <w:top w:val="none" w:sz="0" w:space="0" w:color="auto"/>
                        <w:left w:val="none" w:sz="0" w:space="0" w:color="auto"/>
                        <w:bottom w:val="none" w:sz="0" w:space="0" w:color="auto"/>
                        <w:right w:val="none" w:sz="0" w:space="0" w:color="auto"/>
                      </w:divBdr>
                    </w:div>
                    <w:div w:id="620382742">
                      <w:marLeft w:val="0"/>
                      <w:marRight w:val="0"/>
                      <w:marTop w:val="0"/>
                      <w:marBottom w:val="0"/>
                      <w:divBdr>
                        <w:top w:val="none" w:sz="0" w:space="0" w:color="auto"/>
                        <w:left w:val="none" w:sz="0" w:space="0" w:color="auto"/>
                        <w:bottom w:val="none" w:sz="0" w:space="0" w:color="auto"/>
                        <w:right w:val="none" w:sz="0" w:space="0" w:color="auto"/>
                      </w:divBdr>
                    </w:div>
                  </w:divsChild>
                </w:div>
                <w:div w:id="1076518262">
                  <w:marLeft w:val="0"/>
                  <w:marRight w:val="0"/>
                  <w:marTop w:val="0"/>
                  <w:marBottom w:val="0"/>
                  <w:divBdr>
                    <w:top w:val="none" w:sz="0" w:space="0" w:color="auto"/>
                    <w:left w:val="none" w:sz="0" w:space="0" w:color="auto"/>
                    <w:bottom w:val="none" w:sz="0" w:space="0" w:color="auto"/>
                    <w:right w:val="none" w:sz="0" w:space="0" w:color="auto"/>
                  </w:divBdr>
                  <w:divsChild>
                    <w:div w:id="917440307">
                      <w:marLeft w:val="0"/>
                      <w:marRight w:val="0"/>
                      <w:marTop w:val="0"/>
                      <w:marBottom w:val="0"/>
                      <w:divBdr>
                        <w:top w:val="none" w:sz="0" w:space="0" w:color="auto"/>
                        <w:left w:val="none" w:sz="0" w:space="0" w:color="auto"/>
                        <w:bottom w:val="none" w:sz="0" w:space="0" w:color="auto"/>
                        <w:right w:val="none" w:sz="0" w:space="0" w:color="auto"/>
                      </w:divBdr>
                    </w:div>
                    <w:div w:id="1257514692">
                      <w:marLeft w:val="0"/>
                      <w:marRight w:val="0"/>
                      <w:marTop w:val="0"/>
                      <w:marBottom w:val="0"/>
                      <w:divBdr>
                        <w:top w:val="none" w:sz="0" w:space="0" w:color="auto"/>
                        <w:left w:val="none" w:sz="0" w:space="0" w:color="auto"/>
                        <w:bottom w:val="none" w:sz="0" w:space="0" w:color="auto"/>
                        <w:right w:val="none" w:sz="0" w:space="0" w:color="auto"/>
                      </w:divBdr>
                    </w:div>
                  </w:divsChild>
                </w:div>
                <w:div w:id="1119255364">
                  <w:marLeft w:val="0"/>
                  <w:marRight w:val="0"/>
                  <w:marTop w:val="0"/>
                  <w:marBottom w:val="0"/>
                  <w:divBdr>
                    <w:top w:val="none" w:sz="0" w:space="0" w:color="auto"/>
                    <w:left w:val="none" w:sz="0" w:space="0" w:color="auto"/>
                    <w:bottom w:val="none" w:sz="0" w:space="0" w:color="auto"/>
                    <w:right w:val="none" w:sz="0" w:space="0" w:color="auto"/>
                  </w:divBdr>
                  <w:divsChild>
                    <w:div w:id="12272012">
                      <w:marLeft w:val="0"/>
                      <w:marRight w:val="0"/>
                      <w:marTop w:val="0"/>
                      <w:marBottom w:val="0"/>
                      <w:divBdr>
                        <w:top w:val="none" w:sz="0" w:space="0" w:color="auto"/>
                        <w:left w:val="none" w:sz="0" w:space="0" w:color="auto"/>
                        <w:bottom w:val="none" w:sz="0" w:space="0" w:color="auto"/>
                        <w:right w:val="none" w:sz="0" w:space="0" w:color="auto"/>
                      </w:divBdr>
                    </w:div>
                    <w:div w:id="649795654">
                      <w:marLeft w:val="0"/>
                      <w:marRight w:val="0"/>
                      <w:marTop w:val="0"/>
                      <w:marBottom w:val="0"/>
                      <w:divBdr>
                        <w:top w:val="none" w:sz="0" w:space="0" w:color="auto"/>
                        <w:left w:val="none" w:sz="0" w:space="0" w:color="auto"/>
                        <w:bottom w:val="none" w:sz="0" w:space="0" w:color="auto"/>
                        <w:right w:val="none" w:sz="0" w:space="0" w:color="auto"/>
                      </w:divBdr>
                    </w:div>
                  </w:divsChild>
                </w:div>
                <w:div w:id="1211572436">
                  <w:marLeft w:val="0"/>
                  <w:marRight w:val="0"/>
                  <w:marTop w:val="0"/>
                  <w:marBottom w:val="0"/>
                  <w:divBdr>
                    <w:top w:val="none" w:sz="0" w:space="0" w:color="auto"/>
                    <w:left w:val="none" w:sz="0" w:space="0" w:color="auto"/>
                    <w:bottom w:val="none" w:sz="0" w:space="0" w:color="auto"/>
                    <w:right w:val="none" w:sz="0" w:space="0" w:color="auto"/>
                  </w:divBdr>
                  <w:divsChild>
                    <w:div w:id="1301496642">
                      <w:marLeft w:val="0"/>
                      <w:marRight w:val="0"/>
                      <w:marTop w:val="0"/>
                      <w:marBottom w:val="0"/>
                      <w:divBdr>
                        <w:top w:val="none" w:sz="0" w:space="0" w:color="auto"/>
                        <w:left w:val="none" w:sz="0" w:space="0" w:color="auto"/>
                        <w:bottom w:val="none" w:sz="0" w:space="0" w:color="auto"/>
                        <w:right w:val="none" w:sz="0" w:space="0" w:color="auto"/>
                      </w:divBdr>
                    </w:div>
                    <w:div w:id="1598706629">
                      <w:marLeft w:val="0"/>
                      <w:marRight w:val="0"/>
                      <w:marTop w:val="0"/>
                      <w:marBottom w:val="0"/>
                      <w:divBdr>
                        <w:top w:val="none" w:sz="0" w:space="0" w:color="auto"/>
                        <w:left w:val="none" w:sz="0" w:space="0" w:color="auto"/>
                        <w:bottom w:val="none" w:sz="0" w:space="0" w:color="auto"/>
                        <w:right w:val="none" w:sz="0" w:space="0" w:color="auto"/>
                      </w:divBdr>
                    </w:div>
                  </w:divsChild>
                </w:div>
                <w:div w:id="1366103118">
                  <w:marLeft w:val="0"/>
                  <w:marRight w:val="0"/>
                  <w:marTop w:val="0"/>
                  <w:marBottom w:val="0"/>
                  <w:divBdr>
                    <w:top w:val="none" w:sz="0" w:space="0" w:color="auto"/>
                    <w:left w:val="none" w:sz="0" w:space="0" w:color="auto"/>
                    <w:bottom w:val="none" w:sz="0" w:space="0" w:color="auto"/>
                    <w:right w:val="none" w:sz="0" w:space="0" w:color="auto"/>
                  </w:divBdr>
                  <w:divsChild>
                    <w:div w:id="995963163">
                      <w:marLeft w:val="0"/>
                      <w:marRight w:val="0"/>
                      <w:marTop w:val="0"/>
                      <w:marBottom w:val="0"/>
                      <w:divBdr>
                        <w:top w:val="none" w:sz="0" w:space="0" w:color="auto"/>
                        <w:left w:val="none" w:sz="0" w:space="0" w:color="auto"/>
                        <w:bottom w:val="none" w:sz="0" w:space="0" w:color="auto"/>
                        <w:right w:val="none" w:sz="0" w:space="0" w:color="auto"/>
                      </w:divBdr>
                    </w:div>
                    <w:div w:id="1694988078">
                      <w:marLeft w:val="0"/>
                      <w:marRight w:val="0"/>
                      <w:marTop w:val="0"/>
                      <w:marBottom w:val="0"/>
                      <w:divBdr>
                        <w:top w:val="none" w:sz="0" w:space="0" w:color="auto"/>
                        <w:left w:val="none" w:sz="0" w:space="0" w:color="auto"/>
                        <w:bottom w:val="none" w:sz="0" w:space="0" w:color="auto"/>
                        <w:right w:val="none" w:sz="0" w:space="0" w:color="auto"/>
                      </w:divBdr>
                    </w:div>
                  </w:divsChild>
                </w:div>
                <w:div w:id="1382438330">
                  <w:marLeft w:val="0"/>
                  <w:marRight w:val="0"/>
                  <w:marTop w:val="0"/>
                  <w:marBottom w:val="0"/>
                  <w:divBdr>
                    <w:top w:val="none" w:sz="0" w:space="0" w:color="auto"/>
                    <w:left w:val="none" w:sz="0" w:space="0" w:color="auto"/>
                    <w:bottom w:val="none" w:sz="0" w:space="0" w:color="auto"/>
                    <w:right w:val="none" w:sz="0" w:space="0" w:color="auto"/>
                  </w:divBdr>
                  <w:divsChild>
                    <w:div w:id="860973616">
                      <w:marLeft w:val="0"/>
                      <w:marRight w:val="0"/>
                      <w:marTop w:val="0"/>
                      <w:marBottom w:val="0"/>
                      <w:divBdr>
                        <w:top w:val="none" w:sz="0" w:space="0" w:color="auto"/>
                        <w:left w:val="none" w:sz="0" w:space="0" w:color="auto"/>
                        <w:bottom w:val="none" w:sz="0" w:space="0" w:color="auto"/>
                        <w:right w:val="none" w:sz="0" w:space="0" w:color="auto"/>
                      </w:divBdr>
                    </w:div>
                    <w:div w:id="1255241157">
                      <w:marLeft w:val="0"/>
                      <w:marRight w:val="0"/>
                      <w:marTop w:val="0"/>
                      <w:marBottom w:val="0"/>
                      <w:divBdr>
                        <w:top w:val="none" w:sz="0" w:space="0" w:color="auto"/>
                        <w:left w:val="none" w:sz="0" w:space="0" w:color="auto"/>
                        <w:bottom w:val="none" w:sz="0" w:space="0" w:color="auto"/>
                        <w:right w:val="none" w:sz="0" w:space="0" w:color="auto"/>
                      </w:divBdr>
                    </w:div>
                  </w:divsChild>
                </w:div>
                <w:div w:id="1469981586">
                  <w:marLeft w:val="0"/>
                  <w:marRight w:val="0"/>
                  <w:marTop w:val="0"/>
                  <w:marBottom w:val="0"/>
                  <w:divBdr>
                    <w:top w:val="none" w:sz="0" w:space="0" w:color="auto"/>
                    <w:left w:val="none" w:sz="0" w:space="0" w:color="auto"/>
                    <w:bottom w:val="none" w:sz="0" w:space="0" w:color="auto"/>
                    <w:right w:val="none" w:sz="0" w:space="0" w:color="auto"/>
                  </w:divBdr>
                  <w:divsChild>
                    <w:div w:id="105587173">
                      <w:marLeft w:val="0"/>
                      <w:marRight w:val="0"/>
                      <w:marTop w:val="0"/>
                      <w:marBottom w:val="0"/>
                      <w:divBdr>
                        <w:top w:val="none" w:sz="0" w:space="0" w:color="auto"/>
                        <w:left w:val="none" w:sz="0" w:space="0" w:color="auto"/>
                        <w:bottom w:val="none" w:sz="0" w:space="0" w:color="auto"/>
                        <w:right w:val="none" w:sz="0" w:space="0" w:color="auto"/>
                      </w:divBdr>
                    </w:div>
                    <w:div w:id="1526819863">
                      <w:marLeft w:val="0"/>
                      <w:marRight w:val="0"/>
                      <w:marTop w:val="0"/>
                      <w:marBottom w:val="0"/>
                      <w:divBdr>
                        <w:top w:val="none" w:sz="0" w:space="0" w:color="auto"/>
                        <w:left w:val="none" w:sz="0" w:space="0" w:color="auto"/>
                        <w:bottom w:val="none" w:sz="0" w:space="0" w:color="auto"/>
                        <w:right w:val="none" w:sz="0" w:space="0" w:color="auto"/>
                      </w:divBdr>
                    </w:div>
                  </w:divsChild>
                </w:div>
                <w:div w:id="1551648727">
                  <w:marLeft w:val="0"/>
                  <w:marRight w:val="0"/>
                  <w:marTop w:val="0"/>
                  <w:marBottom w:val="0"/>
                  <w:divBdr>
                    <w:top w:val="none" w:sz="0" w:space="0" w:color="auto"/>
                    <w:left w:val="none" w:sz="0" w:space="0" w:color="auto"/>
                    <w:bottom w:val="none" w:sz="0" w:space="0" w:color="auto"/>
                    <w:right w:val="none" w:sz="0" w:space="0" w:color="auto"/>
                  </w:divBdr>
                  <w:divsChild>
                    <w:div w:id="1687638192">
                      <w:marLeft w:val="0"/>
                      <w:marRight w:val="0"/>
                      <w:marTop w:val="0"/>
                      <w:marBottom w:val="0"/>
                      <w:divBdr>
                        <w:top w:val="none" w:sz="0" w:space="0" w:color="auto"/>
                        <w:left w:val="none" w:sz="0" w:space="0" w:color="auto"/>
                        <w:bottom w:val="none" w:sz="0" w:space="0" w:color="auto"/>
                        <w:right w:val="none" w:sz="0" w:space="0" w:color="auto"/>
                      </w:divBdr>
                    </w:div>
                    <w:div w:id="2131045792">
                      <w:marLeft w:val="0"/>
                      <w:marRight w:val="0"/>
                      <w:marTop w:val="0"/>
                      <w:marBottom w:val="0"/>
                      <w:divBdr>
                        <w:top w:val="none" w:sz="0" w:space="0" w:color="auto"/>
                        <w:left w:val="none" w:sz="0" w:space="0" w:color="auto"/>
                        <w:bottom w:val="none" w:sz="0" w:space="0" w:color="auto"/>
                        <w:right w:val="none" w:sz="0" w:space="0" w:color="auto"/>
                      </w:divBdr>
                    </w:div>
                  </w:divsChild>
                </w:div>
                <w:div w:id="1561860381">
                  <w:marLeft w:val="0"/>
                  <w:marRight w:val="0"/>
                  <w:marTop w:val="0"/>
                  <w:marBottom w:val="0"/>
                  <w:divBdr>
                    <w:top w:val="none" w:sz="0" w:space="0" w:color="auto"/>
                    <w:left w:val="none" w:sz="0" w:space="0" w:color="auto"/>
                    <w:bottom w:val="none" w:sz="0" w:space="0" w:color="auto"/>
                    <w:right w:val="none" w:sz="0" w:space="0" w:color="auto"/>
                  </w:divBdr>
                  <w:divsChild>
                    <w:div w:id="1806048694">
                      <w:marLeft w:val="0"/>
                      <w:marRight w:val="0"/>
                      <w:marTop w:val="0"/>
                      <w:marBottom w:val="0"/>
                      <w:divBdr>
                        <w:top w:val="none" w:sz="0" w:space="0" w:color="auto"/>
                        <w:left w:val="none" w:sz="0" w:space="0" w:color="auto"/>
                        <w:bottom w:val="none" w:sz="0" w:space="0" w:color="auto"/>
                        <w:right w:val="none" w:sz="0" w:space="0" w:color="auto"/>
                      </w:divBdr>
                    </w:div>
                    <w:div w:id="2140608646">
                      <w:marLeft w:val="0"/>
                      <w:marRight w:val="0"/>
                      <w:marTop w:val="0"/>
                      <w:marBottom w:val="0"/>
                      <w:divBdr>
                        <w:top w:val="none" w:sz="0" w:space="0" w:color="auto"/>
                        <w:left w:val="none" w:sz="0" w:space="0" w:color="auto"/>
                        <w:bottom w:val="none" w:sz="0" w:space="0" w:color="auto"/>
                        <w:right w:val="none" w:sz="0" w:space="0" w:color="auto"/>
                      </w:divBdr>
                    </w:div>
                  </w:divsChild>
                </w:div>
                <w:div w:id="1578590605">
                  <w:marLeft w:val="0"/>
                  <w:marRight w:val="0"/>
                  <w:marTop w:val="0"/>
                  <w:marBottom w:val="0"/>
                  <w:divBdr>
                    <w:top w:val="none" w:sz="0" w:space="0" w:color="auto"/>
                    <w:left w:val="none" w:sz="0" w:space="0" w:color="auto"/>
                    <w:bottom w:val="none" w:sz="0" w:space="0" w:color="auto"/>
                    <w:right w:val="none" w:sz="0" w:space="0" w:color="auto"/>
                  </w:divBdr>
                  <w:divsChild>
                    <w:div w:id="68037380">
                      <w:marLeft w:val="0"/>
                      <w:marRight w:val="0"/>
                      <w:marTop w:val="0"/>
                      <w:marBottom w:val="0"/>
                      <w:divBdr>
                        <w:top w:val="none" w:sz="0" w:space="0" w:color="auto"/>
                        <w:left w:val="none" w:sz="0" w:space="0" w:color="auto"/>
                        <w:bottom w:val="none" w:sz="0" w:space="0" w:color="auto"/>
                        <w:right w:val="none" w:sz="0" w:space="0" w:color="auto"/>
                      </w:divBdr>
                    </w:div>
                    <w:div w:id="1209224461">
                      <w:marLeft w:val="0"/>
                      <w:marRight w:val="0"/>
                      <w:marTop w:val="0"/>
                      <w:marBottom w:val="0"/>
                      <w:divBdr>
                        <w:top w:val="none" w:sz="0" w:space="0" w:color="auto"/>
                        <w:left w:val="none" w:sz="0" w:space="0" w:color="auto"/>
                        <w:bottom w:val="none" w:sz="0" w:space="0" w:color="auto"/>
                        <w:right w:val="none" w:sz="0" w:space="0" w:color="auto"/>
                      </w:divBdr>
                    </w:div>
                  </w:divsChild>
                </w:div>
                <w:div w:id="1631082999">
                  <w:marLeft w:val="0"/>
                  <w:marRight w:val="0"/>
                  <w:marTop w:val="0"/>
                  <w:marBottom w:val="0"/>
                  <w:divBdr>
                    <w:top w:val="none" w:sz="0" w:space="0" w:color="auto"/>
                    <w:left w:val="none" w:sz="0" w:space="0" w:color="auto"/>
                    <w:bottom w:val="none" w:sz="0" w:space="0" w:color="auto"/>
                    <w:right w:val="none" w:sz="0" w:space="0" w:color="auto"/>
                  </w:divBdr>
                  <w:divsChild>
                    <w:div w:id="8333628">
                      <w:marLeft w:val="0"/>
                      <w:marRight w:val="0"/>
                      <w:marTop w:val="0"/>
                      <w:marBottom w:val="0"/>
                      <w:divBdr>
                        <w:top w:val="none" w:sz="0" w:space="0" w:color="auto"/>
                        <w:left w:val="none" w:sz="0" w:space="0" w:color="auto"/>
                        <w:bottom w:val="none" w:sz="0" w:space="0" w:color="auto"/>
                        <w:right w:val="none" w:sz="0" w:space="0" w:color="auto"/>
                      </w:divBdr>
                    </w:div>
                    <w:div w:id="159276678">
                      <w:marLeft w:val="0"/>
                      <w:marRight w:val="0"/>
                      <w:marTop w:val="0"/>
                      <w:marBottom w:val="0"/>
                      <w:divBdr>
                        <w:top w:val="none" w:sz="0" w:space="0" w:color="auto"/>
                        <w:left w:val="none" w:sz="0" w:space="0" w:color="auto"/>
                        <w:bottom w:val="none" w:sz="0" w:space="0" w:color="auto"/>
                        <w:right w:val="none" w:sz="0" w:space="0" w:color="auto"/>
                      </w:divBdr>
                    </w:div>
                  </w:divsChild>
                </w:div>
                <w:div w:id="1659728976">
                  <w:marLeft w:val="0"/>
                  <w:marRight w:val="0"/>
                  <w:marTop w:val="0"/>
                  <w:marBottom w:val="0"/>
                  <w:divBdr>
                    <w:top w:val="none" w:sz="0" w:space="0" w:color="auto"/>
                    <w:left w:val="none" w:sz="0" w:space="0" w:color="auto"/>
                    <w:bottom w:val="none" w:sz="0" w:space="0" w:color="auto"/>
                    <w:right w:val="none" w:sz="0" w:space="0" w:color="auto"/>
                  </w:divBdr>
                  <w:divsChild>
                    <w:div w:id="783571175">
                      <w:marLeft w:val="0"/>
                      <w:marRight w:val="0"/>
                      <w:marTop w:val="0"/>
                      <w:marBottom w:val="0"/>
                      <w:divBdr>
                        <w:top w:val="none" w:sz="0" w:space="0" w:color="auto"/>
                        <w:left w:val="none" w:sz="0" w:space="0" w:color="auto"/>
                        <w:bottom w:val="none" w:sz="0" w:space="0" w:color="auto"/>
                        <w:right w:val="none" w:sz="0" w:space="0" w:color="auto"/>
                      </w:divBdr>
                    </w:div>
                    <w:div w:id="1205672531">
                      <w:marLeft w:val="0"/>
                      <w:marRight w:val="0"/>
                      <w:marTop w:val="0"/>
                      <w:marBottom w:val="0"/>
                      <w:divBdr>
                        <w:top w:val="none" w:sz="0" w:space="0" w:color="auto"/>
                        <w:left w:val="none" w:sz="0" w:space="0" w:color="auto"/>
                        <w:bottom w:val="none" w:sz="0" w:space="0" w:color="auto"/>
                        <w:right w:val="none" w:sz="0" w:space="0" w:color="auto"/>
                      </w:divBdr>
                    </w:div>
                    <w:div w:id="1463158732">
                      <w:marLeft w:val="0"/>
                      <w:marRight w:val="0"/>
                      <w:marTop w:val="0"/>
                      <w:marBottom w:val="0"/>
                      <w:divBdr>
                        <w:top w:val="none" w:sz="0" w:space="0" w:color="auto"/>
                        <w:left w:val="none" w:sz="0" w:space="0" w:color="auto"/>
                        <w:bottom w:val="none" w:sz="0" w:space="0" w:color="auto"/>
                        <w:right w:val="none" w:sz="0" w:space="0" w:color="auto"/>
                      </w:divBdr>
                    </w:div>
                  </w:divsChild>
                </w:div>
                <w:div w:id="1684165677">
                  <w:marLeft w:val="0"/>
                  <w:marRight w:val="0"/>
                  <w:marTop w:val="0"/>
                  <w:marBottom w:val="0"/>
                  <w:divBdr>
                    <w:top w:val="none" w:sz="0" w:space="0" w:color="auto"/>
                    <w:left w:val="none" w:sz="0" w:space="0" w:color="auto"/>
                    <w:bottom w:val="none" w:sz="0" w:space="0" w:color="auto"/>
                    <w:right w:val="none" w:sz="0" w:space="0" w:color="auto"/>
                  </w:divBdr>
                  <w:divsChild>
                    <w:div w:id="393771752">
                      <w:marLeft w:val="0"/>
                      <w:marRight w:val="0"/>
                      <w:marTop w:val="0"/>
                      <w:marBottom w:val="0"/>
                      <w:divBdr>
                        <w:top w:val="none" w:sz="0" w:space="0" w:color="auto"/>
                        <w:left w:val="none" w:sz="0" w:space="0" w:color="auto"/>
                        <w:bottom w:val="none" w:sz="0" w:space="0" w:color="auto"/>
                        <w:right w:val="none" w:sz="0" w:space="0" w:color="auto"/>
                      </w:divBdr>
                    </w:div>
                    <w:div w:id="1012805211">
                      <w:marLeft w:val="0"/>
                      <w:marRight w:val="0"/>
                      <w:marTop w:val="0"/>
                      <w:marBottom w:val="0"/>
                      <w:divBdr>
                        <w:top w:val="none" w:sz="0" w:space="0" w:color="auto"/>
                        <w:left w:val="none" w:sz="0" w:space="0" w:color="auto"/>
                        <w:bottom w:val="none" w:sz="0" w:space="0" w:color="auto"/>
                        <w:right w:val="none" w:sz="0" w:space="0" w:color="auto"/>
                      </w:divBdr>
                    </w:div>
                  </w:divsChild>
                </w:div>
                <w:div w:id="1721124919">
                  <w:marLeft w:val="0"/>
                  <w:marRight w:val="0"/>
                  <w:marTop w:val="0"/>
                  <w:marBottom w:val="0"/>
                  <w:divBdr>
                    <w:top w:val="none" w:sz="0" w:space="0" w:color="auto"/>
                    <w:left w:val="none" w:sz="0" w:space="0" w:color="auto"/>
                    <w:bottom w:val="none" w:sz="0" w:space="0" w:color="auto"/>
                    <w:right w:val="none" w:sz="0" w:space="0" w:color="auto"/>
                  </w:divBdr>
                  <w:divsChild>
                    <w:div w:id="41025554">
                      <w:marLeft w:val="0"/>
                      <w:marRight w:val="0"/>
                      <w:marTop w:val="0"/>
                      <w:marBottom w:val="0"/>
                      <w:divBdr>
                        <w:top w:val="none" w:sz="0" w:space="0" w:color="auto"/>
                        <w:left w:val="none" w:sz="0" w:space="0" w:color="auto"/>
                        <w:bottom w:val="none" w:sz="0" w:space="0" w:color="auto"/>
                        <w:right w:val="none" w:sz="0" w:space="0" w:color="auto"/>
                      </w:divBdr>
                    </w:div>
                    <w:div w:id="780298814">
                      <w:marLeft w:val="0"/>
                      <w:marRight w:val="0"/>
                      <w:marTop w:val="0"/>
                      <w:marBottom w:val="0"/>
                      <w:divBdr>
                        <w:top w:val="none" w:sz="0" w:space="0" w:color="auto"/>
                        <w:left w:val="none" w:sz="0" w:space="0" w:color="auto"/>
                        <w:bottom w:val="none" w:sz="0" w:space="0" w:color="auto"/>
                        <w:right w:val="none" w:sz="0" w:space="0" w:color="auto"/>
                      </w:divBdr>
                    </w:div>
                    <w:div w:id="1309824973">
                      <w:marLeft w:val="0"/>
                      <w:marRight w:val="0"/>
                      <w:marTop w:val="0"/>
                      <w:marBottom w:val="0"/>
                      <w:divBdr>
                        <w:top w:val="none" w:sz="0" w:space="0" w:color="auto"/>
                        <w:left w:val="none" w:sz="0" w:space="0" w:color="auto"/>
                        <w:bottom w:val="none" w:sz="0" w:space="0" w:color="auto"/>
                        <w:right w:val="none" w:sz="0" w:space="0" w:color="auto"/>
                      </w:divBdr>
                    </w:div>
                  </w:divsChild>
                </w:div>
                <w:div w:id="1730180925">
                  <w:marLeft w:val="0"/>
                  <w:marRight w:val="0"/>
                  <w:marTop w:val="0"/>
                  <w:marBottom w:val="0"/>
                  <w:divBdr>
                    <w:top w:val="none" w:sz="0" w:space="0" w:color="auto"/>
                    <w:left w:val="none" w:sz="0" w:space="0" w:color="auto"/>
                    <w:bottom w:val="none" w:sz="0" w:space="0" w:color="auto"/>
                    <w:right w:val="none" w:sz="0" w:space="0" w:color="auto"/>
                  </w:divBdr>
                  <w:divsChild>
                    <w:div w:id="1082525209">
                      <w:marLeft w:val="0"/>
                      <w:marRight w:val="0"/>
                      <w:marTop w:val="0"/>
                      <w:marBottom w:val="0"/>
                      <w:divBdr>
                        <w:top w:val="none" w:sz="0" w:space="0" w:color="auto"/>
                        <w:left w:val="none" w:sz="0" w:space="0" w:color="auto"/>
                        <w:bottom w:val="none" w:sz="0" w:space="0" w:color="auto"/>
                        <w:right w:val="none" w:sz="0" w:space="0" w:color="auto"/>
                      </w:divBdr>
                    </w:div>
                    <w:div w:id="1989434043">
                      <w:marLeft w:val="0"/>
                      <w:marRight w:val="0"/>
                      <w:marTop w:val="0"/>
                      <w:marBottom w:val="0"/>
                      <w:divBdr>
                        <w:top w:val="none" w:sz="0" w:space="0" w:color="auto"/>
                        <w:left w:val="none" w:sz="0" w:space="0" w:color="auto"/>
                        <w:bottom w:val="none" w:sz="0" w:space="0" w:color="auto"/>
                        <w:right w:val="none" w:sz="0" w:space="0" w:color="auto"/>
                      </w:divBdr>
                    </w:div>
                  </w:divsChild>
                </w:div>
                <w:div w:id="1739479404">
                  <w:marLeft w:val="0"/>
                  <w:marRight w:val="0"/>
                  <w:marTop w:val="0"/>
                  <w:marBottom w:val="0"/>
                  <w:divBdr>
                    <w:top w:val="none" w:sz="0" w:space="0" w:color="auto"/>
                    <w:left w:val="none" w:sz="0" w:space="0" w:color="auto"/>
                    <w:bottom w:val="none" w:sz="0" w:space="0" w:color="auto"/>
                    <w:right w:val="none" w:sz="0" w:space="0" w:color="auto"/>
                  </w:divBdr>
                  <w:divsChild>
                    <w:div w:id="468283245">
                      <w:marLeft w:val="0"/>
                      <w:marRight w:val="0"/>
                      <w:marTop w:val="0"/>
                      <w:marBottom w:val="0"/>
                      <w:divBdr>
                        <w:top w:val="none" w:sz="0" w:space="0" w:color="auto"/>
                        <w:left w:val="none" w:sz="0" w:space="0" w:color="auto"/>
                        <w:bottom w:val="none" w:sz="0" w:space="0" w:color="auto"/>
                        <w:right w:val="none" w:sz="0" w:space="0" w:color="auto"/>
                      </w:divBdr>
                    </w:div>
                    <w:div w:id="1182087151">
                      <w:marLeft w:val="0"/>
                      <w:marRight w:val="0"/>
                      <w:marTop w:val="0"/>
                      <w:marBottom w:val="0"/>
                      <w:divBdr>
                        <w:top w:val="none" w:sz="0" w:space="0" w:color="auto"/>
                        <w:left w:val="none" w:sz="0" w:space="0" w:color="auto"/>
                        <w:bottom w:val="none" w:sz="0" w:space="0" w:color="auto"/>
                        <w:right w:val="none" w:sz="0" w:space="0" w:color="auto"/>
                      </w:divBdr>
                    </w:div>
                  </w:divsChild>
                </w:div>
                <w:div w:id="1739666630">
                  <w:marLeft w:val="0"/>
                  <w:marRight w:val="0"/>
                  <w:marTop w:val="0"/>
                  <w:marBottom w:val="0"/>
                  <w:divBdr>
                    <w:top w:val="none" w:sz="0" w:space="0" w:color="auto"/>
                    <w:left w:val="none" w:sz="0" w:space="0" w:color="auto"/>
                    <w:bottom w:val="none" w:sz="0" w:space="0" w:color="auto"/>
                    <w:right w:val="none" w:sz="0" w:space="0" w:color="auto"/>
                  </w:divBdr>
                  <w:divsChild>
                    <w:div w:id="379211801">
                      <w:marLeft w:val="0"/>
                      <w:marRight w:val="0"/>
                      <w:marTop w:val="0"/>
                      <w:marBottom w:val="0"/>
                      <w:divBdr>
                        <w:top w:val="none" w:sz="0" w:space="0" w:color="auto"/>
                        <w:left w:val="none" w:sz="0" w:space="0" w:color="auto"/>
                        <w:bottom w:val="none" w:sz="0" w:space="0" w:color="auto"/>
                        <w:right w:val="none" w:sz="0" w:space="0" w:color="auto"/>
                      </w:divBdr>
                    </w:div>
                    <w:div w:id="1512573203">
                      <w:marLeft w:val="0"/>
                      <w:marRight w:val="0"/>
                      <w:marTop w:val="0"/>
                      <w:marBottom w:val="0"/>
                      <w:divBdr>
                        <w:top w:val="none" w:sz="0" w:space="0" w:color="auto"/>
                        <w:left w:val="none" w:sz="0" w:space="0" w:color="auto"/>
                        <w:bottom w:val="none" w:sz="0" w:space="0" w:color="auto"/>
                        <w:right w:val="none" w:sz="0" w:space="0" w:color="auto"/>
                      </w:divBdr>
                    </w:div>
                  </w:divsChild>
                </w:div>
                <w:div w:id="1741057557">
                  <w:marLeft w:val="0"/>
                  <w:marRight w:val="0"/>
                  <w:marTop w:val="0"/>
                  <w:marBottom w:val="0"/>
                  <w:divBdr>
                    <w:top w:val="none" w:sz="0" w:space="0" w:color="auto"/>
                    <w:left w:val="none" w:sz="0" w:space="0" w:color="auto"/>
                    <w:bottom w:val="none" w:sz="0" w:space="0" w:color="auto"/>
                    <w:right w:val="none" w:sz="0" w:space="0" w:color="auto"/>
                  </w:divBdr>
                  <w:divsChild>
                    <w:div w:id="279996696">
                      <w:marLeft w:val="0"/>
                      <w:marRight w:val="0"/>
                      <w:marTop w:val="0"/>
                      <w:marBottom w:val="0"/>
                      <w:divBdr>
                        <w:top w:val="none" w:sz="0" w:space="0" w:color="auto"/>
                        <w:left w:val="none" w:sz="0" w:space="0" w:color="auto"/>
                        <w:bottom w:val="none" w:sz="0" w:space="0" w:color="auto"/>
                        <w:right w:val="none" w:sz="0" w:space="0" w:color="auto"/>
                      </w:divBdr>
                    </w:div>
                    <w:div w:id="2135706052">
                      <w:marLeft w:val="0"/>
                      <w:marRight w:val="0"/>
                      <w:marTop w:val="0"/>
                      <w:marBottom w:val="0"/>
                      <w:divBdr>
                        <w:top w:val="none" w:sz="0" w:space="0" w:color="auto"/>
                        <w:left w:val="none" w:sz="0" w:space="0" w:color="auto"/>
                        <w:bottom w:val="none" w:sz="0" w:space="0" w:color="auto"/>
                        <w:right w:val="none" w:sz="0" w:space="0" w:color="auto"/>
                      </w:divBdr>
                    </w:div>
                  </w:divsChild>
                </w:div>
                <w:div w:id="1761833056">
                  <w:marLeft w:val="0"/>
                  <w:marRight w:val="0"/>
                  <w:marTop w:val="0"/>
                  <w:marBottom w:val="0"/>
                  <w:divBdr>
                    <w:top w:val="none" w:sz="0" w:space="0" w:color="auto"/>
                    <w:left w:val="none" w:sz="0" w:space="0" w:color="auto"/>
                    <w:bottom w:val="none" w:sz="0" w:space="0" w:color="auto"/>
                    <w:right w:val="none" w:sz="0" w:space="0" w:color="auto"/>
                  </w:divBdr>
                  <w:divsChild>
                    <w:div w:id="1275750563">
                      <w:marLeft w:val="0"/>
                      <w:marRight w:val="0"/>
                      <w:marTop w:val="0"/>
                      <w:marBottom w:val="0"/>
                      <w:divBdr>
                        <w:top w:val="none" w:sz="0" w:space="0" w:color="auto"/>
                        <w:left w:val="none" w:sz="0" w:space="0" w:color="auto"/>
                        <w:bottom w:val="none" w:sz="0" w:space="0" w:color="auto"/>
                        <w:right w:val="none" w:sz="0" w:space="0" w:color="auto"/>
                      </w:divBdr>
                    </w:div>
                    <w:div w:id="1685521790">
                      <w:marLeft w:val="0"/>
                      <w:marRight w:val="0"/>
                      <w:marTop w:val="0"/>
                      <w:marBottom w:val="0"/>
                      <w:divBdr>
                        <w:top w:val="none" w:sz="0" w:space="0" w:color="auto"/>
                        <w:left w:val="none" w:sz="0" w:space="0" w:color="auto"/>
                        <w:bottom w:val="none" w:sz="0" w:space="0" w:color="auto"/>
                        <w:right w:val="none" w:sz="0" w:space="0" w:color="auto"/>
                      </w:divBdr>
                    </w:div>
                  </w:divsChild>
                </w:div>
                <w:div w:id="1941448512">
                  <w:marLeft w:val="0"/>
                  <w:marRight w:val="0"/>
                  <w:marTop w:val="0"/>
                  <w:marBottom w:val="0"/>
                  <w:divBdr>
                    <w:top w:val="none" w:sz="0" w:space="0" w:color="auto"/>
                    <w:left w:val="none" w:sz="0" w:space="0" w:color="auto"/>
                    <w:bottom w:val="none" w:sz="0" w:space="0" w:color="auto"/>
                    <w:right w:val="none" w:sz="0" w:space="0" w:color="auto"/>
                  </w:divBdr>
                  <w:divsChild>
                    <w:div w:id="37511301">
                      <w:marLeft w:val="0"/>
                      <w:marRight w:val="0"/>
                      <w:marTop w:val="0"/>
                      <w:marBottom w:val="0"/>
                      <w:divBdr>
                        <w:top w:val="none" w:sz="0" w:space="0" w:color="auto"/>
                        <w:left w:val="none" w:sz="0" w:space="0" w:color="auto"/>
                        <w:bottom w:val="none" w:sz="0" w:space="0" w:color="auto"/>
                        <w:right w:val="none" w:sz="0" w:space="0" w:color="auto"/>
                      </w:divBdr>
                    </w:div>
                    <w:div w:id="2122842825">
                      <w:marLeft w:val="0"/>
                      <w:marRight w:val="0"/>
                      <w:marTop w:val="0"/>
                      <w:marBottom w:val="0"/>
                      <w:divBdr>
                        <w:top w:val="none" w:sz="0" w:space="0" w:color="auto"/>
                        <w:left w:val="none" w:sz="0" w:space="0" w:color="auto"/>
                        <w:bottom w:val="none" w:sz="0" w:space="0" w:color="auto"/>
                        <w:right w:val="none" w:sz="0" w:space="0" w:color="auto"/>
                      </w:divBdr>
                    </w:div>
                  </w:divsChild>
                </w:div>
                <w:div w:id="2034990166">
                  <w:marLeft w:val="0"/>
                  <w:marRight w:val="0"/>
                  <w:marTop w:val="0"/>
                  <w:marBottom w:val="0"/>
                  <w:divBdr>
                    <w:top w:val="none" w:sz="0" w:space="0" w:color="auto"/>
                    <w:left w:val="none" w:sz="0" w:space="0" w:color="auto"/>
                    <w:bottom w:val="none" w:sz="0" w:space="0" w:color="auto"/>
                    <w:right w:val="none" w:sz="0" w:space="0" w:color="auto"/>
                  </w:divBdr>
                  <w:divsChild>
                    <w:div w:id="1292397278">
                      <w:marLeft w:val="0"/>
                      <w:marRight w:val="0"/>
                      <w:marTop w:val="0"/>
                      <w:marBottom w:val="0"/>
                      <w:divBdr>
                        <w:top w:val="none" w:sz="0" w:space="0" w:color="auto"/>
                        <w:left w:val="none" w:sz="0" w:space="0" w:color="auto"/>
                        <w:bottom w:val="none" w:sz="0" w:space="0" w:color="auto"/>
                        <w:right w:val="none" w:sz="0" w:space="0" w:color="auto"/>
                      </w:divBdr>
                    </w:div>
                  </w:divsChild>
                </w:div>
                <w:div w:id="2083285793">
                  <w:marLeft w:val="0"/>
                  <w:marRight w:val="0"/>
                  <w:marTop w:val="0"/>
                  <w:marBottom w:val="0"/>
                  <w:divBdr>
                    <w:top w:val="none" w:sz="0" w:space="0" w:color="auto"/>
                    <w:left w:val="none" w:sz="0" w:space="0" w:color="auto"/>
                    <w:bottom w:val="none" w:sz="0" w:space="0" w:color="auto"/>
                    <w:right w:val="none" w:sz="0" w:space="0" w:color="auto"/>
                  </w:divBdr>
                  <w:divsChild>
                    <w:div w:id="167869288">
                      <w:marLeft w:val="0"/>
                      <w:marRight w:val="0"/>
                      <w:marTop w:val="0"/>
                      <w:marBottom w:val="0"/>
                      <w:divBdr>
                        <w:top w:val="none" w:sz="0" w:space="0" w:color="auto"/>
                        <w:left w:val="none" w:sz="0" w:space="0" w:color="auto"/>
                        <w:bottom w:val="none" w:sz="0" w:space="0" w:color="auto"/>
                        <w:right w:val="none" w:sz="0" w:space="0" w:color="auto"/>
                      </w:divBdr>
                    </w:div>
                    <w:div w:id="2038311492">
                      <w:marLeft w:val="0"/>
                      <w:marRight w:val="0"/>
                      <w:marTop w:val="0"/>
                      <w:marBottom w:val="0"/>
                      <w:divBdr>
                        <w:top w:val="none" w:sz="0" w:space="0" w:color="auto"/>
                        <w:left w:val="none" w:sz="0" w:space="0" w:color="auto"/>
                        <w:bottom w:val="none" w:sz="0" w:space="0" w:color="auto"/>
                        <w:right w:val="none" w:sz="0" w:space="0" w:color="auto"/>
                      </w:divBdr>
                    </w:div>
                  </w:divsChild>
                </w:div>
                <w:div w:id="2091390678">
                  <w:marLeft w:val="0"/>
                  <w:marRight w:val="0"/>
                  <w:marTop w:val="0"/>
                  <w:marBottom w:val="0"/>
                  <w:divBdr>
                    <w:top w:val="none" w:sz="0" w:space="0" w:color="auto"/>
                    <w:left w:val="none" w:sz="0" w:space="0" w:color="auto"/>
                    <w:bottom w:val="none" w:sz="0" w:space="0" w:color="auto"/>
                    <w:right w:val="none" w:sz="0" w:space="0" w:color="auto"/>
                  </w:divBdr>
                  <w:divsChild>
                    <w:div w:id="453909160">
                      <w:marLeft w:val="0"/>
                      <w:marRight w:val="0"/>
                      <w:marTop w:val="0"/>
                      <w:marBottom w:val="0"/>
                      <w:divBdr>
                        <w:top w:val="none" w:sz="0" w:space="0" w:color="auto"/>
                        <w:left w:val="none" w:sz="0" w:space="0" w:color="auto"/>
                        <w:bottom w:val="none" w:sz="0" w:space="0" w:color="auto"/>
                        <w:right w:val="none" w:sz="0" w:space="0" w:color="auto"/>
                      </w:divBdr>
                    </w:div>
                    <w:div w:id="96535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0380715">
          <w:marLeft w:val="0"/>
          <w:marRight w:val="0"/>
          <w:marTop w:val="0"/>
          <w:marBottom w:val="0"/>
          <w:divBdr>
            <w:top w:val="none" w:sz="0" w:space="0" w:color="auto"/>
            <w:left w:val="none" w:sz="0" w:space="0" w:color="auto"/>
            <w:bottom w:val="none" w:sz="0" w:space="0" w:color="auto"/>
            <w:right w:val="none" w:sz="0" w:space="0" w:color="auto"/>
          </w:divBdr>
        </w:div>
        <w:div w:id="557588585">
          <w:marLeft w:val="0"/>
          <w:marRight w:val="0"/>
          <w:marTop w:val="0"/>
          <w:marBottom w:val="0"/>
          <w:divBdr>
            <w:top w:val="none" w:sz="0" w:space="0" w:color="auto"/>
            <w:left w:val="none" w:sz="0" w:space="0" w:color="auto"/>
            <w:bottom w:val="none" w:sz="0" w:space="0" w:color="auto"/>
            <w:right w:val="none" w:sz="0" w:space="0" w:color="auto"/>
          </w:divBdr>
        </w:div>
        <w:div w:id="662201468">
          <w:marLeft w:val="0"/>
          <w:marRight w:val="0"/>
          <w:marTop w:val="0"/>
          <w:marBottom w:val="0"/>
          <w:divBdr>
            <w:top w:val="none" w:sz="0" w:space="0" w:color="auto"/>
            <w:left w:val="none" w:sz="0" w:space="0" w:color="auto"/>
            <w:bottom w:val="none" w:sz="0" w:space="0" w:color="auto"/>
            <w:right w:val="none" w:sz="0" w:space="0" w:color="auto"/>
          </w:divBdr>
        </w:div>
        <w:div w:id="664014793">
          <w:marLeft w:val="0"/>
          <w:marRight w:val="0"/>
          <w:marTop w:val="0"/>
          <w:marBottom w:val="0"/>
          <w:divBdr>
            <w:top w:val="none" w:sz="0" w:space="0" w:color="auto"/>
            <w:left w:val="none" w:sz="0" w:space="0" w:color="auto"/>
            <w:bottom w:val="none" w:sz="0" w:space="0" w:color="auto"/>
            <w:right w:val="none" w:sz="0" w:space="0" w:color="auto"/>
          </w:divBdr>
        </w:div>
        <w:div w:id="879632184">
          <w:marLeft w:val="0"/>
          <w:marRight w:val="0"/>
          <w:marTop w:val="0"/>
          <w:marBottom w:val="0"/>
          <w:divBdr>
            <w:top w:val="none" w:sz="0" w:space="0" w:color="auto"/>
            <w:left w:val="none" w:sz="0" w:space="0" w:color="auto"/>
            <w:bottom w:val="none" w:sz="0" w:space="0" w:color="auto"/>
            <w:right w:val="none" w:sz="0" w:space="0" w:color="auto"/>
          </w:divBdr>
        </w:div>
        <w:div w:id="979726745">
          <w:marLeft w:val="0"/>
          <w:marRight w:val="0"/>
          <w:marTop w:val="0"/>
          <w:marBottom w:val="0"/>
          <w:divBdr>
            <w:top w:val="none" w:sz="0" w:space="0" w:color="auto"/>
            <w:left w:val="none" w:sz="0" w:space="0" w:color="auto"/>
            <w:bottom w:val="none" w:sz="0" w:space="0" w:color="auto"/>
            <w:right w:val="none" w:sz="0" w:space="0" w:color="auto"/>
          </w:divBdr>
        </w:div>
        <w:div w:id="1151795509">
          <w:marLeft w:val="0"/>
          <w:marRight w:val="0"/>
          <w:marTop w:val="0"/>
          <w:marBottom w:val="0"/>
          <w:divBdr>
            <w:top w:val="none" w:sz="0" w:space="0" w:color="auto"/>
            <w:left w:val="none" w:sz="0" w:space="0" w:color="auto"/>
            <w:bottom w:val="none" w:sz="0" w:space="0" w:color="auto"/>
            <w:right w:val="none" w:sz="0" w:space="0" w:color="auto"/>
          </w:divBdr>
        </w:div>
        <w:div w:id="1209025780">
          <w:marLeft w:val="0"/>
          <w:marRight w:val="0"/>
          <w:marTop w:val="0"/>
          <w:marBottom w:val="0"/>
          <w:divBdr>
            <w:top w:val="none" w:sz="0" w:space="0" w:color="auto"/>
            <w:left w:val="none" w:sz="0" w:space="0" w:color="auto"/>
            <w:bottom w:val="none" w:sz="0" w:space="0" w:color="auto"/>
            <w:right w:val="none" w:sz="0" w:space="0" w:color="auto"/>
          </w:divBdr>
        </w:div>
        <w:div w:id="1309824689">
          <w:marLeft w:val="0"/>
          <w:marRight w:val="0"/>
          <w:marTop w:val="0"/>
          <w:marBottom w:val="0"/>
          <w:divBdr>
            <w:top w:val="none" w:sz="0" w:space="0" w:color="auto"/>
            <w:left w:val="none" w:sz="0" w:space="0" w:color="auto"/>
            <w:bottom w:val="none" w:sz="0" w:space="0" w:color="auto"/>
            <w:right w:val="none" w:sz="0" w:space="0" w:color="auto"/>
          </w:divBdr>
        </w:div>
        <w:div w:id="1399398663">
          <w:marLeft w:val="0"/>
          <w:marRight w:val="0"/>
          <w:marTop w:val="0"/>
          <w:marBottom w:val="0"/>
          <w:divBdr>
            <w:top w:val="none" w:sz="0" w:space="0" w:color="auto"/>
            <w:left w:val="none" w:sz="0" w:space="0" w:color="auto"/>
            <w:bottom w:val="none" w:sz="0" w:space="0" w:color="auto"/>
            <w:right w:val="none" w:sz="0" w:space="0" w:color="auto"/>
          </w:divBdr>
        </w:div>
        <w:div w:id="1536040050">
          <w:marLeft w:val="0"/>
          <w:marRight w:val="0"/>
          <w:marTop w:val="0"/>
          <w:marBottom w:val="0"/>
          <w:divBdr>
            <w:top w:val="none" w:sz="0" w:space="0" w:color="auto"/>
            <w:left w:val="none" w:sz="0" w:space="0" w:color="auto"/>
            <w:bottom w:val="none" w:sz="0" w:space="0" w:color="auto"/>
            <w:right w:val="none" w:sz="0" w:space="0" w:color="auto"/>
          </w:divBdr>
        </w:div>
        <w:div w:id="1580679489">
          <w:marLeft w:val="0"/>
          <w:marRight w:val="0"/>
          <w:marTop w:val="0"/>
          <w:marBottom w:val="0"/>
          <w:divBdr>
            <w:top w:val="none" w:sz="0" w:space="0" w:color="auto"/>
            <w:left w:val="none" w:sz="0" w:space="0" w:color="auto"/>
            <w:bottom w:val="none" w:sz="0" w:space="0" w:color="auto"/>
            <w:right w:val="none" w:sz="0" w:space="0" w:color="auto"/>
          </w:divBdr>
        </w:div>
        <w:div w:id="1678925872">
          <w:marLeft w:val="0"/>
          <w:marRight w:val="0"/>
          <w:marTop w:val="0"/>
          <w:marBottom w:val="0"/>
          <w:divBdr>
            <w:top w:val="none" w:sz="0" w:space="0" w:color="auto"/>
            <w:left w:val="none" w:sz="0" w:space="0" w:color="auto"/>
            <w:bottom w:val="none" w:sz="0" w:space="0" w:color="auto"/>
            <w:right w:val="none" w:sz="0" w:space="0" w:color="auto"/>
          </w:divBdr>
        </w:div>
        <w:div w:id="1791390091">
          <w:marLeft w:val="0"/>
          <w:marRight w:val="0"/>
          <w:marTop w:val="0"/>
          <w:marBottom w:val="0"/>
          <w:divBdr>
            <w:top w:val="none" w:sz="0" w:space="0" w:color="auto"/>
            <w:left w:val="none" w:sz="0" w:space="0" w:color="auto"/>
            <w:bottom w:val="none" w:sz="0" w:space="0" w:color="auto"/>
            <w:right w:val="none" w:sz="0" w:space="0" w:color="auto"/>
          </w:divBdr>
        </w:div>
        <w:div w:id="1971737795">
          <w:marLeft w:val="0"/>
          <w:marRight w:val="0"/>
          <w:marTop w:val="0"/>
          <w:marBottom w:val="0"/>
          <w:divBdr>
            <w:top w:val="none" w:sz="0" w:space="0" w:color="auto"/>
            <w:left w:val="none" w:sz="0" w:space="0" w:color="auto"/>
            <w:bottom w:val="none" w:sz="0" w:space="0" w:color="auto"/>
            <w:right w:val="none" w:sz="0" w:space="0" w:color="auto"/>
          </w:divBdr>
        </w:div>
        <w:div w:id="2113940340">
          <w:marLeft w:val="0"/>
          <w:marRight w:val="0"/>
          <w:marTop w:val="0"/>
          <w:marBottom w:val="0"/>
          <w:divBdr>
            <w:top w:val="none" w:sz="0" w:space="0" w:color="auto"/>
            <w:left w:val="none" w:sz="0" w:space="0" w:color="auto"/>
            <w:bottom w:val="none" w:sz="0" w:space="0" w:color="auto"/>
            <w:right w:val="none" w:sz="0" w:space="0" w:color="auto"/>
          </w:divBdr>
        </w:div>
        <w:div w:id="2134248503">
          <w:marLeft w:val="0"/>
          <w:marRight w:val="0"/>
          <w:marTop w:val="0"/>
          <w:marBottom w:val="0"/>
          <w:divBdr>
            <w:top w:val="none" w:sz="0" w:space="0" w:color="auto"/>
            <w:left w:val="none" w:sz="0" w:space="0" w:color="auto"/>
            <w:bottom w:val="none" w:sz="0" w:space="0" w:color="auto"/>
            <w:right w:val="none" w:sz="0" w:space="0" w:color="auto"/>
          </w:divBdr>
        </w:div>
      </w:divsChild>
    </w:div>
    <w:div w:id="1964992235">
      <w:bodyDiv w:val="1"/>
      <w:marLeft w:val="0"/>
      <w:marRight w:val="0"/>
      <w:marTop w:val="0"/>
      <w:marBottom w:val="0"/>
      <w:divBdr>
        <w:top w:val="none" w:sz="0" w:space="0" w:color="auto"/>
        <w:left w:val="none" w:sz="0" w:space="0" w:color="auto"/>
        <w:bottom w:val="none" w:sz="0" w:space="0" w:color="auto"/>
        <w:right w:val="none" w:sz="0" w:space="0" w:color="auto"/>
      </w:divBdr>
    </w:div>
    <w:div w:id="1965497155">
      <w:bodyDiv w:val="1"/>
      <w:marLeft w:val="0"/>
      <w:marRight w:val="0"/>
      <w:marTop w:val="0"/>
      <w:marBottom w:val="0"/>
      <w:divBdr>
        <w:top w:val="none" w:sz="0" w:space="0" w:color="auto"/>
        <w:left w:val="none" w:sz="0" w:space="0" w:color="auto"/>
        <w:bottom w:val="none" w:sz="0" w:space="0" w:color="auto"/>
        <w:right w:val="none" w:sz="0" w:space="0" w:color="auto"/>
      </w:divBdr>
    </w:div>
    <w:div w:id="1968243197">
      <w:bodyDiv w:val="1"/>
      <w:marLeft w:val="0"/>
      <w:marRight w:val="0"/>
      <w:marTop w:val="0"/>
      <w:marBottom w:val="0"/>
      <w:divBdr>
        <w:top w:val="none" w:sz="0" w:space="0" w:color="auto"/>
        <w:left w:val="none" w:sz="0" w:space="0" w:color="auto"/>
        <w:bottom w:val="none" w:sz="0" w:space="0" w:color="auto"/>
        <w:right w:val="none" w:sz="0" w:space="0" w:color="auto"/>
      </w:divBdr>
    </w:div>
    <w:div w:id="1977877842">
      <w:bodyDiv w:val="1"/>
      <w:marLeft w:val="0"/>
      <w:marRight w:val="0"/>
      <w:marTop w:val="0"/>
      <w:marBottom w:val="0"/>
      <w:divBdr>
        <w:top w:val="none" w:sz="0" w:space="0" w:color="auto"/>
        <w:left w:val="none" w:sz="0" w:space="0" w:color="auto"/>
        <w:bottom w:val="none" w:sz="0" w:space="0" w:color="auto"/>
        <w:right w:val="none" w:sz="0" w:space="0" w:color="auto"/>
      </w:divBdr>
    </w:div>
    <w:div w:id="1999186204">
      <w:bodyDiv w:val="1"/>
      <w:marLeft w:val="0"/>
      <w:marRight w:val="0"/>
      <w:marTop w:val="0"/>
      <w:marBottom w:val="0"/>
      <w:divBdr>
        <w:top w:val="none" w:sz="0" w:space="0" w:color="auto"/>
        <w:left w:val="none" w:sz="0" w:space="0" w:color="auto"/>
        <w:bottom w:val="none" w:sz="0" w:space="0" w:color="auto"/>
        <w:right w:val="none" w:sz="0" w:space="0" w:color="auto"/>
      </w:divBdr>
      <w:divsChild>
        <w:div w:id="402989388">
          <w:marLeft w:val="-75"/>
          <w:marRight w:val="-75"/>
          <w:marTop w:val="0"/>
          <w:marBottom w:val="0"/>
          <w:divBdr>
            <w:top w:val="none" w:sz="0" w:space="0" w:color="auto"/>
            <w:left w:val="none" w:sz="0" w:space="0" w:color="auto"/>
            <w:bottom w:val="none" w:sz="0" w:space="0" w:color="auto"/>
            <w:right w:val="none" w:sz="0" w:space="0" w:color="auto"/>
          </w:divBdr>
          <w:divsChild>
            <w:div w:id="84501004">
              <w:marLeft w:val="0"/>
              <w:marRight w:val="0"/>
              <w:marTop w:val="0"/>
              <w:marBottom w:val="0"/>
              <w:divBdr>
                <w:top w:val="none" w:sz="0" w:space="0" w:color="auto"/>
                <w:left w:val="none" w:sz="0" w:space="0" w:color="auto"/>
                <w:bottom w:val="none" w:sz="0" w:space="0" w:color="auto"/>
                <w:right w:val="none" w:sz="0" w:space="0" w:color="auto"/>
              </w:divBdr>
              <w:divsChild>
                <w:div w:id="1645311678">
                  <w:marLeft w:val="0"/>
                  <w:marRight w:val="0"/>
                  <w:marTop w:val="0"/>
                  <w:marBottom w:val="75"/>
                  <w:divBdr>
                    <w:top w:val="single" w:sz="6" w:space="0" w:color="B8B2AD"/>
                    <w:left w:val="single" w:sz="6" w:space="0" w:color="B8B2AD"/>
                    <w:bottom w:val="single" w:sz="6" w:space="0" w:color="B8B2AD"/>
                    <w:right w:val="single" w:sz="6" w:space="0" w:color="B8B2AD"/>
                  </w:divBdr>
                  <w:divsChild>
                    <w:div w:id="2031373623">
                      <w:marLeft w:val="0"/>
                      <w:marRight w:val="0"/>
                      <w:marTop w:val="0"/>
                      <w:marBottom w:val="0"/>
                      <w:divBdr>
                        <w:top w:val="none" w:sz="0" w:space="0" w:color="auto"/>
                        <w:left w:val="none" w:sz="0" w:space="0" w:color="auto"/>
                        <w:bottom w:val="none" w:sz="0" w:space="0" w:color="auto"/>
                        <w:right w:val="none" w:sz="0" w:space="0" w:color="auto"/>
                      </w:divBdr>
                      <w:divsChild>
                        <w:div w:id="407970835">
                          <w:marLeft w:val="0"/>
                          <w:marRight w:val="0"/>
                          <w:marTop w:val="0"/>
                          <w:marBottom w:val="0"/>
                          <w:divBdr>
                            <w:top w:val="none" w:sz="0" w:space="0" w:color="auto"/>
                            <w:left w:val="none" w:sz="0" w:space="0" w:color="auto"/>
                            <w:bottom w:val="none" w:sz="0" w:space="0" w:color="auto"/>
                            <w:right w:val="none" w:sz="0" w:space="0" w:color="auto"/>
                          </w:divBdr>
                          <w:divsChild>
                            <w:div w:id="1646742143">
                              <w:marLeft w:val="0"/>
                              <w:marRight w:val="0"/>
                              <w:marTop w:val="0"/>
                              <w:marBottom w:val="0"/>
                              <w:divBdr>
                                <w:top w:val="none" w:sz="0" w:space="0" w:color="auto"/>
                                <w:left w:val="none" w:sz="0" w:space="0" w:color="auto"/>
                                <w:bottom w:val="none" w:sz="0" w:space="0" w:color="auto"/>
                                <w:right w:val="none" w:sz="0" w:space="0" w:color="auto"/>
                              </w:divBdr>
                              <w:divsChild>
                                <w:div w:id="202612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3306667">
          <w:marLeft w:val="-75"/>
          <w:marRight w:val="-75"/>
          <w:marTop w:val="0"/>
          <w:marBottom w:val="0"/>
          <w:divBdr>
            <w:top w:val="none" w:sz="0" w:space="0" w:color="auto"/>
            <w:left w:val="none" w:sz="0" w:space="0" w:color="auto"/>
            <w:bottom w:val="none" w:sz="0" w:space="0" w:color="auto"/>
            <w:right w:val="none" w:sz="0" w:space="0" w:color="auto"/>
          </w:divBdr>
          <w:divsChild>
            <w:div w:id="958993663">
              <w:marLeft w:val="0"/>
              <w:marRight w:val="0"/>
              <w:marTop w:val="0"/>
              <w:marBottom w:val="0"/>
              <w:divBdr>
                <w:top w:val="none" w:sz="0" w:space="0" w:color="auto"/>
                <w:left w:val="none" w:sz="0" w:space="0" w:color="auto"/>
                <w:bottom w:val="none" w:sz="0" w:space="0" w:color="auto"/>
                <w:right w:val="none" w:sz="0" w:space="0" w:color="auto"/>
              </w:divBdr>
              <w:divsChild>
                <w:div w:id="813371665">
                  <w:marLeft w:val="0"/>
                  <w:marRight w:val="0"/>
                  <w:marTop w:val="0"/>
                  <w:marBottom w:val="75"/>
                  <w:divBdr>
                    <w:top w:val="single" w:sz="6" w:space="0" w:color="B8B2AD"/>
                    <w:left w:val="single" w:sz="6" w:space="0" w:color="B8B2AD"/>
                    <w:bottom w:val="single" w:sz="6" w:space="0" w:color="B8B2AD"/>
                    <w:right w:val="single" w:sz="6" w:space="0" w:color="B8B2AD"/>
                  </w:divBdr>
                  <w:divsChild>
                    <w:div w:id="1233540286">
                      <w:marLeft w:val="0"/>
                      <w:marRight w:val="0"/>
                      <w:marTop w:val="0"/>
                      <w:marBottom w:val="0"/>
                      <w:divBdr>
                        <w:top w:val="none" w:sz="0" w:space="0" w:color="auto"/>
                        <w:left w:val="none" w:sz="0" w:space="0" w:color="auto"/>
                        <w:bottom w:val="none" w:sz="0" w:space="0" w:color="auto"/>
                        <w:right w:val="none" w:sz="0" w:space="0" w:color="auto"/>
                      </w:divBdr>
                      <w:divsChild>
                        <w:div w:id="1849833975">
                          <w:marLeft w:val="0"/>
                          <w:marRight w:val="0"/>
                          <w:marTop w:val="0"/>
                          <w:marBottom w:val="0"/>
                          <w:divBdr>
                            <w:top w:val="none" w:sz="0" w:space="0" w:color="auto"/>
                            <w:left w:val="none" w:sz="0" w:space="0" w:color="auto"/>
                            <w:bottom w:val="none" w:sz="0" w:space="0" w:color="auto"/>
                            <w:right w:val="none" w:sz="0" w:space="0" w:color="auto"/>
                          </w:divBdr>
                          <w:divsChild>
                            <w:div w:id="311175651">
                              <w:marLeft w:val="0"/>
                              <w:marRight w:val="0"/>
                              <w:marTop w:val="0"/>
                              <w:marBottom w:val="0"/>
                              <w:divBdr>
                                <w:top w:val="none" w:sz="0" w:space="0" w:color="auto"/>
                                <w:left w:val="none" w:sz="0" w:space="0" w:color="auto"/>
                                <w:bottom w:val="none" w:sz="0" w:space="0" w:color="auto"/>
                                <w:right w:val="none" w:sz="0" w:space="0" w:color="auto"/>
                              </w:divBdr>
                              <w:divsChild>
                                <w:div w:id="1610090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4648844">
              <w:marLeft w:val="0"/>
              <w:marRight w:val="0"/>
              <w:marTop w:val="0"/>
              <w:marBottom w:val="0"/>
              <w:divBdr>
                <w:top w:val="none" w:sz="0" w:space="0" w:color="auto"/>
                <w:left w:val="none" w:sz="0" w:space="0" w:color="auto"/>
                <w:bottom w:val="none" w:sz="0" w:space="0" w:color="auto"/>
                <w:right w:val="none" w:sz="0" w:space="0" w:color="auto"/>
              </w:divBdr>
              <w:divsChild>
                <w:div w:id="1527672504">
                  <w:marLeft w:val="0"/>
                  <w:marRight w:val="0"/>
                  <w:marTop w:val="0"/>
                  <w:marBottom w:val="75"/>
                  <w:divBdr>
                    <w:top w:val="single" w:sz="6" w:space="0" w:color="B8B2AD"/>
                    <w:left w:val="single" w:sz="6" w:space="0" w:color="B8B2AD"/>
                    <w:bottom w:val="single" w:sz="6" w:space="0" w:color="B8B2AD"/>
                    <w:right w:val="single" w:sz="6" w:space="0" w:color="B8B2AD"/>
                  </w:divBdr>
                  <w:divsChild>
                    <w:div w:id="1875463716">
                      <w:marLeft w:val="0"/>
                      <w:marRight w:val="0"/>
                      <w:marTop w:val="0"/>
                      <w:marBottom w:val="0"/>
                      <w:divBdr>
                        <w:top w:val="none" w:sz="0" w:space="0" w:color="auto"/>
                        <w:left w:val="none" w:sz="0" w:space="0" w:color="auto"/>
                        <w:bottom w:val="none" w:sz="0" w:space="0" w:color="auto"/>
                        <w:right w:val="none" w:sz="0" w:space="0" w:color="auto"/>
                      </w:divBdr>
                      <w:divsChild>
                        <w:div w:id="1163661726">
                          <w:marLeft w:val="0"/>
                          <w:marRight w:val="0"/>
                          <w:marTop w:val="0"/>
                          <w:marBottom w:val="0"/>
                          <w:divBdr>
                            <w:top w:val="none" w:sz="0" w:space="0" w:color="auto"/>
                            <w:left w:val="none" w:sz="0" w:space="0" w:color="auto"/>
                            <w:bottom w:val="none" w:sz="0" w:space="0" w:color="auto"/>
                            <w:right w:val="none" w:sz="0" w:space="0" w:color="auto"/>
                          </w:divBdr>
                          <w:divsChild>
                            <w:div w:id="2020037646">
                              <w:marLeft w:val="0"/>
                              <w:marRight w:val="0"/>
                              <w:marTop w:val="0"/>
                              <w:marBottom w:val="0"/>
                              <w:divBdr>
                                <w:top w:val="none" w:sz="0" w:space="0" w:color="auto"/>
                                <w:left w:val="none" w:sz="0" w:space="0" w:color="auto"/>
                                <w:bottom w:val="none" w:sz="0" w:space="0" w:color="auto"/>
                                <w:right w:val="none" w:sz="0" w:space="0" w:color="auto"/>
                              </w:divBdr>
                              <w:divsChild>
                                <w:div w:id="215314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5797580">
          <w:marLeft w:val="0"/>
          <w:marRight w:val="0"/>
          <w:marTop w:val="0"/>
          <w:marBottom w:val="0"/>
          <w:divBdr>
            <w:top w:val="none" w:sz="0" w:space="0" w:color="auto"/>
            <w:left w:val="none" w:sz="0" w:space="0" w:color="auto"/>
            <w:bottom w:val="none" w:sz="0" w:space="0" w:color="auto"/>
            <w:right w:val="none" w:sz="0" w:space="0" w:color="auto"/>
          </w:divBdr>
          <w:divsChild>
            <w:div w:id="1609853307">
              <w:marLeft w:val="0"/>
              <w:marRight w:val="0"/>
              <w:marTop w:val="0"/>
              <w:marBottom w:val="150"/>
              <w:divBdr>
                <w:top w:val="single" w:sz="6" w:space="4" w:color="B7B1AB"/>
                <w:left w:val="none" w:sz="0" w:space="0" w:color="auto"/>
                <w:bottom w:val="single" w:sz="6" w:space="4" w:color="B7B1AB"/>
                <w:right w:val="none" w:sz="0" w:space="0" w:color="auto"/>
              </w:divBdr>
            </w:div>
          </w:divsChild>
        </w:div>
      </w:divsChild>
    </w:div>
    <w:div w:id="2005862134">
      <w:bodyDiv w:val="1"/>
      <w:marLeft w:val="0"/>
      <w:marRight w:val="0"/>
      <w:marTop w:val="0"/>
      <w:marBottom w:val="0"/>
      <w:divBdr>
        <w:top w:val="none" w:sz="0" w:space="0" w:color="auto"/>
        <w:left w:val="none" w:sz="0" w:space="0" w:color="auto"/>
        <w:bottom w:val="none" w:sz="0" w:space="0" w:color="auto"/>
        <w:right w:val="none" w:sz="0" w:space="0" w:color="auto"/>
      </w:divBdr>
    </w:div>
    <w:div w:id="2012218038">
      <w:bodyDiv w:val="1"/>
      <w:marLeft w:val="0"/>
      <w:marRight w:val="0"/>
      <w:marTop w:val="0"/>
      <w:marBottom w:val="0"/>
      <w:divBdr>
        <w:top w:val="none" w:sz="0" w:space="0" w:color="auto"/>
        <w:left w:val="none" w:sz="0" w:space="0" w:color="auto"/>
        <w:bottom w:val="none" w:sz="0" w:space="0" w:color="auto"/>
        <w:right w:val="none" w:sz="0" w:space="0" w:color="auto"/>
      </w:divBdr>
    </w:div>
    <w:div w:id="2019844438">
      <w:bodyDiv w:val="1"/>
      <w:marLeft w:val="0"/>
      <w:marRight w:val="0"/>
      <w:marTop w:val="0"/>
      <w:marBottom w:val="0"/>
      <w:divBdr>
        <w:top w:val="none" w:sz="0" w:space="0" w:color="auto"/>
        <w:left w:val="none" w:sz="0" w:space="0" w:color="auto"/>
        <w:bottom w:val="none" w:sz="0" w:space="0" w:color="auto"/>
        <w:right w:val="none" w:sz="0" w:space="0" w:color="auto"/>
      </w:divBdr>
      <w:divsChild>
        <w:div w:id="268466798">
          <w:marLeft w:val="0"/>
          <w:marRight w:val="0"/>
          <w:marTop w:val="0"/>
          <w:marBottom w:val="0"/>
          <w:divBdr>
            <w:top w:val="none" w:sz="0" w:space="0" w:color="auto"/>
            <w:left w:val="none" w:sz="0" w:space="0" w:color="auto"/>
            <w:bottom w:val="none" w:sz="0" w:space="0" w:color="auto"/>
            <w:right w:val="none" w:sz="0" w:space="0" w:color="auto"/>
          </w:divBdr>
          <w:divsChild>
            <w:div w:id="2140950857">
              <w:marLeft w:val="0"/>
              <w:marRight w:val="0"/>
              <w:marTop w:val="0"/>
              <w:marBottom w:val="0"/>
              <w:divBdr>
                <w:top w:val="none" w:sz="0" w:space="0" w:color="auto"/>
                <w:left w:val="none" w:sz="0" w:space="0" w:color="auto"/>
                <w:bottom w:val="none" w:sz="0" w:space="0" w:color="auto"/>
                <w:right w:val="none" w:sz="0" w:space="0" w:color="auto"/>
              </w:divBdr>
              <w:divsChild>
                <w:div w:id="306907143">
                  <w:marLeft w:val="-75"/>
                  <w:marRight w:val="-75"/>
                  <w:marTop w:val="0"/>
                  <w:marBottom w:val="0"/>
                  <w:divBdr>
                    <w:top w:val="none" w:sz="0" w:space="0" w:color="auto"/>
                    <w:left w:val="none" w:sz="0" w:space="0" w:color="auto"/>
                    <w:bottom w:val="none" w:sz="0" w:space="0" w:color="auto"/>
                    <w:right w:val="none" w:sz="0" w:space="0" w:color="auto"/>
                  </w:divBdr>
                  <w:divsChild>
                    <w:div w:id="358701820">
                      <w:marLeft w:val="0"/>
                      <w:marRight w:val="0"/>
                      <w:marTop w:val="0"/>
                      <w:marBottom w:val="0"/>
                      <w:divBdr>
                        <w:top w:val="none" w:sz="0" w:space="0" w:color="auto"/>
                        <w:left w:val="none" w:sz="0" w:space="0" w:color="auto"/>
                        <w:bottom w:val="none" w:sz="0" w:space="0" w:color="auto"/>
                        <w:right w:val="none" w:sz="0" w:space="0" w:color="auto"/>
                      </w:divBdr>
                      <w:divsChild>
                        <w:div w:id="2009213198">
                          <w:marLeft w:val="0"/>
                          <w:marRight w:val="0"/>
                          <w:marTop w:val="0"/>
                          <w:marBottom w:val="0"/>
                          <w:divBdr>
                            <w:top w:val="none" w:sz="0" w:space="0" w:color="auto"/>
                            <w:left w:val="none" w:sz="0" w:space="0" w:color="auto"/>
                            <w:bottom w:val="none" w:sz="0" w:space="0" w:color="auto"/>
                            <w:right w:val="none" w:sz="0" w:space="0" w:color="auto"/>
                          </w:divBdr>
                          <w:divsChild>
                            <w:div w:id="57435532">
                              <w:marLeft w:val="0"/>
                              <w:marRight w:val="0"/>
                              <w:marTop w:val="0"/>
                              <w:marBottom w:val="75"/>
                              <w:divBdr>
                                <w:top w:val="single" w:sz="6" w:space="0" w:color="B8B2AD"/>
                                <w:left w:val="single" w:sz="6" w:space="0" w:color="B8B2AD"/>
                                <w:bottom w:val="single" w:sz="6" w:space="0" w:color="B8B2AD"/>
                                <w:right w:val="single" w:sz="6" w:space="0" w:color="B8B2AD"/>
                              </w:divBdr>
                              <w:divsChild>
                                <w:div w:id="573515195">
                                  <w:marLeft w:val="0"/>
                                  <w:marRight w:val="0"/>
                                  <w:marTop w:val="0"/>
                                  <w:marBottom w:val="0"/>
                                  <w:divBdr>
                                    <w:top w:val="none" w:sz="0" w:space="0" w:color="auto"/>
                                    <w:left w:val="none" w:sz="0" w:space="0" w:color="auto"/>
                                    <w:bottom w:val="none" w:sz="0" w:space="0" w:color="auto"/>
                                    <w:right w:val="none" w:sz="0" w:space="0" w:color="auto"/>
                                  </w:divBdr>
                                  <w:divsChild>
                                    <w:div w:id="1416199855">
                                      <w:marLeft w:val="0"/>
                                      <w:marRight w:val="0"/>
                                      <w:marTop w:val="0"/>
                                      <w:marBottom w:val="0"/>
                                      <w:divBdr>
                                        <w:top w:val="none" w:sz="0" w:space="0" w:color="auto"/>
                                        <w:left w:val="none" w:sz="0" w:space="0" w:color="auto"/>
                                        <w:bottom w:val="none" w:sz="0" w:space="0" w:color="auto"/>
                                        <w:right w:val="none" w:sz="0" w:space="0" w:color="auto"/>
                                      </w:divBdr>
                                    </w:div>
                                    <w:div w:id="1585604194">
                                      <w:marLeft w:val="0"/>
                                      <w:marRight w:val="0"/>
                                      <w:marTop w:val="0"/>
                                      <w:marBottom w:val="0"/>
                                      <w:divBdr>
                                        <w:top w:val="none" w:sz="0" w:space="0" w:color="auto"/>
                                        <w:left w:val="none" w:sz="0" w:space="0" w:color="auto"/>
                                        <w:bottom w:val="none" w:sz="0" w:space="0" w:color="auto"/>
                                        <w:right w:val="none" w:sz="0" w:space="0" w:color="auto"/>
                                      </w:divBdr>
                                      <w:divsChild>
                                        <w:div w:id="2055617669">
                                          <w:marLeft w:val="0"/>
                                          <w:marRight w:val="0"/>
                                          <w:marTop w:val="0"/>
                                          <w:marBottom w:val="0"/>
                                          <w:divBdr>
                                            <w:top w:val="none" w:sz="0" w:space="0" w:color="auto"/>
                                            <w:left w:val="none" w:sz="0" w:space="0" w:color="auto"/>
                                            <w:bottom w:val="none" w:sz="0" w:space="0" w:color="auto"/>
                                            <w:right w:val="none" w:sz="0" w:space="0" w:color="auto"/>
                                          </w:divBdr>
                                          <w:divsChild>
                                            <w:div w:id="1414620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3430236">
                              <w:marLeft w:val="0"/>
                              <w:marRight w:val="0"/>
                              <w:marTop w:val="0"/>
                              <w:marBottom w:val="0"/>
                              <w:divBdr>
                                <w:top w:val="none" w:sz="0" w:space="0" w:color="auto"/>
                                <w:left w:val="none" w:sz="0" w:space="0" w:color="auto"/>
                                <w:bottom w:val="none" w:sz="0" w:space="0" w:color="auto"/>
                                <w:right w:val="none" w:sz="0" w:space="0" w:color="auto"/>
                              </w:divBdr>
                              <w:divsChild>
                                <w:div w:id="1101026326">
                                  <w:marLeft w:val="0"/>
                                  <w:marRight w:val="0"/>
                                  <w:marTop w:val="0"/>
                                  <w:marBottom w:val="150"/>
                                  <w:divBdr>
                                    <w:top w:val="single" w:sz="6" w:space="0" w:color="B7B1AB"/>
                                    <w:left w:val="none" w:sz="0" w:space="0" w:color="auto"/>
                                    <w:bottom w:val="single" w:sz="6" w:space="0" w:color="B7B1AB"/>
                                    <w:right w:val="none" w:sz="0" w:space="0" w:color="auto"/>
                                  </w:divBdr>
                                </w:div>
                              </w:divsChild>
                            </w:div>
                          </w:divsChild>
                        </w:div>
                      </w:divsChild>
                    </w:div>
                  </w:divsChild>
                </w:div>
              </w:divsChild>
            </w:div>
          </w:divsChild>
        </w:div>
      </w:divsChild>
    </w:div>
    <w:div w:id="2021424503">
      <w:bodyDiv w:val="1"/>
      <w:marLeft w:val="0"/>
      <w:marRight w:val="0"/>
      <w:marTop w:val="0"/>
      <w:marBottom w:val="0"/>
      <w:divBdr>
        <w:top w:val="none" w:sz="0" w:space="0" w:color="auto"/>
        <w:left w:val="none" w:sz="0" w:space="0" w:color="auto"/>
        <w:bottom w:val="none" w:sz="0" w:space="0" w:color="auto"/>
        <w:right w:val="none" w:sz="0" w:space="0" w:color="auto"/>
      </w:divBdr>
    </w:div>
    <w:div w:id="2040466057">
      <w:bodyDiv w:val="1"/>
      <w:marLeft w:val="0"/>
      <w:marRight w:val="0"/>
      <w:marTop w:val="0"/>
      <w:marBottom w:val="0"/>
      <w:divBdr>
        <w:top w:val="none" w:sz="0" w:space="0" w:color="auto"/>
        <w:left w:val="none" w:sz="0" w:space="0" w:color="auto"/>
        <w:bottom w:val="none" w:sz="0" w:space="0" w:color="auto"/>
        <w:right w:val="none" w:sz="0" w:space="0" w:color="auto"/>
      </w:divBdr>
    </w:div>
    <w:div w:id="2061198378">
      <w:bodyDiv w:val="1"/>
      <w:marLeft w:val="0"/>
      <w:marRight w:val="0"/>
      <w:marTop w:val="0"/>
      <w:marBottom w:val="0"/>
      <w:divBdr>
        <w:top w:val="none" w:sz="0" w:space="0" w:color="auto"/>
        <w:left w:val="none" w:sz="0" w:space="0" w:color="auto"/>
        <w:bottom w:val="none" w:sz="0" w:space="0" w:color="auto"/>
        <w:right w:val="none" w:sz="0" w:space="0" w:color="auto"/>
      </w:divBdr>
    </w:div>
    <w:div w:id="2077507641">
      <w:bodyDiv w:val="1"/>
      <w:marLeft w:val="0"/>
      <w:marRight w:val="0"/>
      <w:marTop w:val="0"/>
      <w:marBottom w:val="0"/>
      <w:divBdr>
        <w:top w:val="none" w:sz="0" w:space="0" w:color="auto"/>
        <w:left w:val="none" w:sz="0" w:space="0" w:color="auto"/>
        <w:bottom w:val="none" w:sz="0" w:space="0" w:color="auto"/>
        <w:right w:val="none" w:sz="0" w:space="0" w:color="auto"/>
      </w:divBdr>
    </w:div>
    <w:div w:id="2114468687">
      <w:bodyDiv w:val="1"/>
      <w:marLeft w:val="0"/>
      <w:marRight w:val="0"/>
      <w:marTop w:val="0"/>
      <w:marBottom w:val="0"/>
      <w:divBdr>
        <w:top w:val="none" w:sz="0" w:space="0" w:color="auto"/>
        <w:left w:val="none" w:sz="0" w:space="0" w:color="auto"/>
        <w:bottom w:val="none" w:sz="0" w:space="0" w:color="auto"/>
        <w:right w:val="none" w:sz="0" w:space="0" w:color="auto"/>
      </w:divBdr>
    </w:div>
    <w:div w:id="2119832682">
      <w:bodyDiv w:val="1"/>
      <w:marLeft w:val="0"/>
      <w:marRight w:val="0"/>
      <w:marTop w:val="0"/>
      <w:marBottom w:val="0"/>
      <w:divBdr>
        <w:top w:val="none" w:sz="0" w:space="0" w:color="auto"/>
        <w:left w:val="none" w:sz="0" w:space="0" w:color="auto"/>
        <w:bottom w:val="none" w:sz="0" w:space="0" w:color="auto"/>
        <w:right w:val="none" w:sz="0" w:space="0" w:color="auto"/>
      </w:divBdr>
      <w:divsChild>
        <w:div w:id="1815752230">
          <w:marLeft w:val="0"/>
          <w:marRight w:val="150"/>
          <w:marTop w:val="0"/>
          <w:marBottom w:val="75"/>
          <w:divBdr>
            <w:top w:val="none" w:sz="0" w:space="0" w:color="auto"/>
            <w:left w:val="none" w:sz="0" w:space="0" w:color="auto"/>
            <w:bottom w:val="none" w:sz="0" w:space="0" w:color="auto"/>
            <w:right w:val="none" w:sz="0" w:space="0" w:color="auto"/>
          </w:divBdr>
        </w:div>
        <w:div w:id="1846284689">
          <w:marLeft w:val="0"/>
          <w:marRight w:val="150"/>
          <w:marTop w:val="0"/>
          <w:marBottom w:val="75"/>
          <w:divBdr>
            <w:top w:val="none" w:sz="0" w:space="0" w:color="auto"/>
            <w:left w:val="none" w:sz="0" w:space="0" w:color="auto"/>
            <w:bottom w:val="none" w:sz="0" w:space="0" w:color="auto"/>
            <w:right w:val="none" w:sz="0" w:space="0" w:color="auto"/>
          </w:divBdr>
        </w:div>
        <w:div w:id="1641887897">
          <w:marLeft w:val="0"/>
          <w:marRight w:val="150"/>
          <w:marTop w:val="0"/>
          <w:marBottom w:val="75"/>
          <w:divBdr>
            <w:top w:val="none" w:sz="0" w:space="0" w:color="auto"/>
            <w:left w:val="none" w:sz="0" w:space="0" w:color="auto"/>
            <w:bottom w:val="none" w:sz="0" w:space="0" w:color="auto"/>
            <w:right w:val="none" w:sz="0" w:space="0" w:color="auto"/>
          </w:divBdr>
        </w:div>
        <w:div w:id="1898084229">
          <w:marLeft w:val="0"/>
          <w:marRight w:val="150"/>
          <w:marTop w:val="0"/>
          <w:marBottom w:val="75"/>
          <w:divBdr>
            <w:top w:val="none" w:sz="0" w:space="0" w:color="auto"/>
            <w:left w:val="none" w:sz="0" w:space="0" w:color="auto"/>
            <w:bottom w:val="none" w:sz="0" w:space="0" w:color="auto"/>
            <w:right w:val="none" w:sz="0" w:space="0" w:color="auto"/>
          </w:divBdr>
        </w:div>
      </w:divsChild>
    </w:div>
    <w:div w:id="2121681071">
      <w:bodyDiv w:val="1"/>
      <w:marLeft w:val="0"/>
      <w:marRight w:val="0"/>
      <w:marTop w:val="0"/>
      <w:marBottom w:val="0"/>
      <w:divBdr>
        <w:top w:val="none" w:sz="0" w:space="0" w:color="auto"/>
        <w:left w:val="none" w:sz="0" w:space="0" w:color="auto"/>
        <w:bottom w:val="none" w:sz="0" w:space="0" w:color="auto"/>
        <w:right w:val="none" w:sz="0" w:space="0" w:color="auto"/>
      </w:divBdr>
    </w:div>
    <w:div w:id="212738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hyperlink" Target="https://www.secop.gov.co/CO1BusinessLine/Tendering/ContractNoticeView/Index?prevCtxLbl=Buscar+procesos&amp;prevCtxUrl=https%3a%2f%2fwww.secop.gov.co%3a443%2fCO1BusinessLine%2fTendering%2fContractNoticeManagement%2fIndex&amp;notice=CO1.NTC.8038230" TargetMode="External"/><Relationship Id="rId47" Type="http://schemas.openxmlformats.org/officeDocument/2006/relationships/image" Target="media/image29.png"/><Relationship Id="rId50"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yperlink" Target="https://www.secop.gov.co/CO1BusinessLine/Tendering/ContractNoticeView/Index?prevCtxLbl=Buscar+procesos&amp;prevCtxUrl=https%3a%2f%2fwww.secop.gov.co%3a443%2fCO1BusinessLine%2fTendering%2fContractNoticeManagement%2fIndex&amp;notice=CO1.NTC.8324434" TargetMode="External"/><Relationship Id="rId45" Type="http://schemas.microsoft.com/office/2016/09/relationships/commentsIds" Target="commentsIds.xm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4" Type="http://schemas.microsoft.com/office/2011/relationships/commentsExtended" Target="commentsExtended.xml"/><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comments" Target="comments.xml"/><Relationship Id="rId4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microsoft.com/office/2018/08/relationships/commentsExtensible" Target="commentsExtensible.xml"/><Relationship Id="rId20" Type="http://schemas.openxmlformats.org/officeDocument/2006/relationships/image" Target="media/image10.png"/><Relationship Id="rId41" Type="http://schemas.openxmlformats.org/officeDocument/2006/relationships/hyperlink" Target="https://www.secop.gov.co/CO1BusinessLine/Tendering/ContractNoticeView/Index?prevCtxLbl=Buscar+procesos&amp;prevCtxUrl=https%3a%2f%2fwww.secop.gov.co%3a443%2fCO1BusinessLine%2fTendering%2fContractNoticeManagement%2fIndex&amp;notice=CO1.NTC.8254131"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s://www.dane.gov.co/index.php/estadisticas-por-tema/mercado-laboral/empleo-y-desempleo" TargetMode="External"/><Relationship Id="rId36" Type="http://schemas.openxmlformats.org/officeDocument/2006/relationships/image" Target="media/image25.png"/><Relationship Id="rId49"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https://www.oecd.org/en/publications/oecd-economic-outlook-volume-2025-issue-1_83363382-en/full-report/colombia_742ba6d2.htm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1.png"/><Relationship Id="rId1" Type="http://schemas.openxmlformats.org/officeDocument/2006/relationships/image" Target="media/image3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6547347618D3874BB731DAF6BD34D43F" ma:contentTypeVersion="18" ma:contentTypeDescription="Crear nuevo documento." ma:contentTypeScope="" ma:versionID="b8aaacdbd1bfee211d4261282753ffaf">
  <xsd:schema xmlns:xsd="http://www.w3.org/2001/XMLSchema" xmlns:xs="http://www.w3.org/2001/XMLSchema" xmlns:p="http://schemas.microsoft.com/office/2006/metadata/properties" xmlns:ns2="99d7d202-9883-4f15-a647-ced7ad76d18f" xmlns:ns3="a0cab8ad-e47a-434b-af5e-0db8d9a5de1d" targetNamespace="http://schemas.microsoft.com/office/2006/metadata/properties" ma:root="true" ma:fieldsID="68a2997da8b10e9b4477d5ced97d12db" ns2:_="" ns3:_="">
    <xsd:import namespace="99d7d202-9883-4f15-a647-ced7ad76d18f"/>
    <xsd:import namespace="a0cab8ad-e47a-434b-af5e-0db8d9a5de1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2:Revisi_x00f3_n" minOccurs="0"/>
                <xsd:element ref="ns2:Revisado_x0020_JO"/>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9d7d202-9883-4f15-a647-ced7ad76d18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Revisi_x00f3_n" ma:index="21" nillable="true" ma:displayName="Revisión" ma:format="Dropdown" ma:internalName="Revisi_x00f3_n">
      <xsd:simpleType>
        <xsd:restriction base="dms:Text">
          <xsd:maxLength value="255"/>
        </xsd:restriction>
      </xsd:simpleType>
    </xsd:element>
    <xsd:element name="Revisado_x0020_JO" ma:index="22" ma:displayName="Revisado JO" ma:default="No revisado" ma:internalName="Revisado_x0020_JO">
      <xsd:simpleType>
        <xsd:restriction base="dms:Text">
          <xsd:maxLength value="255"/>
        </xsd:restriction>
      </xsd:simpleType>
    </xsd:element>
    <xsd:element name="lcf76f155ced4ddcb4097134ff3c332f" ma:index="24"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0cab8ad-e47a-434b-af5e-0db8d9a5de1d"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25" nillable="true" ma:displayName="Taxonomy Catch All Column" ma:hidden="true" ma:list="{92b803df-5887-43a1-856f-0d4f9ef09441}" ma:internalName="TaxCatchAll" ma:showField="CatchAllData" ma:web="a0cab8ad-e47a-434b-af5e-0db8d9a5d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9d7d202-9883-4f15-a647-ced7ad76d18f">
      <Terms xmlns="http://schemas.microsoft.com/office/infopath/2007/PartnerControls"/>
    </lcf76f155ced4ddcb4097134ff3c332f>
    <TaxCatchAll xmlns="a0cab8ad-e47a-434b-af5e-0db8d9a5de1d" xsi:nil="true"/>
    <Revisado_x0020_JO xmlns="99d7d202-9883-4f15-a647-ced7ad76d18f">No revisado</Revisado_x0020_JO>
    <Revisi_x00f3_n xmlns="99d7d202-9883-4f15-a647-ced7ad76d18f"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46F9B1-0073-451E-BB3D-937980E99F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9d7d202-9883-4f15-a647-ced7ad76d18f"/>
    <ds:schemaRef ds:uri="a0cab8ad-e47a-434b-af5e-0db8d9a5de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11827F3-062B-41ED-8FD8-E80C68AD0CE3}">
  <ds:schemaRefs>
    <ds:schemaRef ds:uri="http://schemas.microsoft.com/office/2006/metadata/properties"/>
    <ds:schemaRef ds:uri="http://schemas.microsoft.com/office/infopath/2007/PartnerControls"/>
    <ds:schemaRef ds:uri="99d7d202-9883-4f15-a647-ced7ad76d18f"/>
    <ds:schemaRef ds:uri="a0cab8ad-e47a-434b-af5e-0db8d9a5de1d"/>
  </ds:schemaRefs>
</ds:datastoreItem>
</file>

<file path=customXml/itemProps3.xml><?xml version="1.0" encoding="utf-8"?>
<ds:datastoreItem xmlns:ds="http://schemas.openxmlformats.org/officeDocument/2006/customXml" ds:itemID="{BE42AEF7-E835-486B-BC99-BE4E5163136F}">
  <ds:schemaRefs>
    <ds:schemaRef ds:uri="http://schemas.microsoft.com/sharepoint/v3/contenttype/forms"/>
  </ds:schemaRefs>
</ds:datastoreItem>
</file>

<file path=customXml/itemProps4.xml><?xml version="1.0" encoding="utf-8"?>
<ds:datastoreItem xmlns:ds="http://schemas.openxmlformats.org/officeDocument/2006/customXml" ds:itemID="{A234B70B-E0AC-463E-8100-559106A582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36</Pages>
  <Words>7701</Words>
  <Characters>42357</Characters>
  <Application>Microsoft Office Word</Application>
  <DocSecurity>0</DocSecurity>
  <Lines>352</Lines>
  <Paragraphs>99</Paragraphs>
  <ScaleCrop>false</ScaleCrop>
  <HeadingPairs>
    <vt:vector size="2" baseType="variant">
      <vt:variant>
        <vt:lpstr>Título</vt:lpstr>
      </vt:variant>
      <vt:variant>
        <vt:i4>1</vt:i4>
      </vt:variant>
    </vt:vector>
  </HeadingPairs>
  <TitlesOfParts>
    <vt:vector size="1" baseType="lpstr">
      <vt:lpstr>Bogotá D</vt:lpstr>
    </vt:vector>
  </TitlesOfParts>
  <Company/>
  <LinksUpToDate>false</LinksUpToDate>
  <CharactersWithSpaces>49959</CharactersWithSpaces>
  <SharedDoc>false</SharedDoc>
  <HLinks>
    <vt:vector size="12" baseType="variant">
      <vt:variant>
        <vt:i4>3407998</vt:i4>
      </vt:variant>
      <vt:variant>
        <vt:i4>0</vt:i4>
      </vt:variant>
      <vt:variant>
        <vt:i4>0</vt:i4>
      </vt:variant>
      <vt:variant>
        <vt:i4>5</vt:i4>
      </vt:variant>
      <vt:variant>
        <vt:lpwstr>http://www.dolar-colombia.com/</vt:lpwstr>
      </vt:variant>
      <vt:variant>
        <vt:lpwstr/>
      </vt:variant>
      <vt:variant>
        <vt:i4>5505112</vt:i4>
      </vt:variant>
      <vt:variant>
        <vt:i4>6</vt:i4>
      </vt:variant>
      <vt:variant>
        <vt:i4>0</vt:i4>
      </vt:variant>
      <vt:variant>
        <vt:i4>5</vt:i4>
      </vt:variant>
      <vt:variant>
        <vt:lpwstr>http://www.gobiernobogota.gov.co/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Bogotá D</dc:title>
  <dc:creator>Administrador</dc:creator>
  <cp:lastModifiedBy>Edith Johana Roa Gutierrez</cp:lastModifiedBy>
  <cp:revision>12</cp:revision>
  <cp:lastPrinted>2025-07-22T18:37:00Z</cp:lastPrinted>
  <dcterms:created xsi:type="dcterms:W3CDTF">2026-07-17T17:33:00Z</dcterms:created>
  <dcterms:modified xsi:type="dcterms:W3CDTF">2026-07-29T12:47:00Z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0x0101006547347618D3874BB731DAF6BD34D43F</vt:lpwstr>
  </property>
</Properties>
</file>